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PRIVILEGED AND CONFIDENTIAL: ATTORNEY WORK PRODUCT</w:t>
      </w:r>
    </w:p>
    <w:p>
      <w:pPr>
        <w:pStyle w:val="Heading1"/>
        <w:ind w:hanging="0" w:start="0"/>
        <w:rPr>
          <w:sz w:val="24"/>
        </w:rPr>
      </w:pPr>
      <w:r>
        <w:rPr>
          <w:sz w:val="24"/>
        </w:rPr>
        <w:t>DRAFT 3-9-00</w:t>
      </w:r>
    </w:p>
    <w:p>
      <w:pPr>
        <w:pStyle w:val="Heading1"/>
        <w:ind w:hanging="0" w:start="0"/>
        <w:jc w:val="center"/>
        <w:rPr>
          <w:sz w:val="24"/>
        </w:rPr>
      </w:pPr>
      <w:r>
        <w:rPr>
          <w:sz w:val="24"/>
        </w:rPr>
        <w:t>Memorandum</w:t>
      </w:r>
    </w:p>
    <w:p>
      <w:pPr>
        <w:pStyle w:val="Heading1"/>
        <w:ind w:hanging="0" w:start="0"/>
        <w:rPr>
          <w:sz w:val="24"/>
        </w:rPr>
      </w:pPr>
      <w:r>
        <w:rPr>
          <w:sz w:val="24"/>
        </w:rPr>
      </w:r>
    </w:p>
    <w:p>
      <w:pPr>
        <w:pStyle w:val="Normal"/>
        <w:rPr/>
      </w:pPr>
      <w:r>
        <w:rPr>
          <w:b/>
          <w:sz w:val="24"/>
        </w:rPr>
        <w:t>TO:</w:t>
      </w:r>
      <w:r>
        <w:rPr>
          <w:sz w:val="24"/>
        </w:rPr>
        <w:tab/>
        <w:tab/>
        <w:t>Elizabeth Sager, Esq.; Janet Moore, Esq.</w:t>
      </w:r>
    </w:p>
    <w:p>
      <w:pPr>
        <w:pStyle w:val="Normal"/>
        <w:rPr>
          <w:sz w:val="24"/>
        </w:rPr>
      </w:pPr>
      <w:r>
        <w:rPr>
          <w:sz w:val="24"/>
        </w:rPr>
      </w:r>
    </w:p>
    <w:p>
      <w:pPr>
        <w:pStyle w:val="Normal"/>
        <w:rPr/>
      </w:pPr>
      <w:r>
        <w:rPr>
          <w:b/>
          <w:sz w:val="24"/>
        </w:rPr>
        <w:t>FROM:</w:t>
      </w:r>
      <w:r>
        <w:rPr>
          <w:sz w:val="24"/>
        </w:rPr>
        <w:tab/>
        <w:t>John Klauberg</w:t>
      </w:r>
    </w:p>
    <w:p>
      <w:pPr>
        <w:pStyle w:val="FootnoteText"/>
        <w:rPr>
          <w:sz w:val="24"/>
        </w:rPr>
      </w:pPr>
      <w:r>
        <w:rPr>
          <w:sz w:val="24"/>
        </w:rPr>
      </w:r>
    </w:p>
    <w:p>
      <w:pPr>
        <w:pStyle w:val="Normal"/>
        <w:rPr>
          <w:sz w:val="24"/>
        </w:rPr>
      </w:pPr>
      <w:r>
        <w:rPr>
          <w:b/>
          <w:sz w:val="24"/>
        </w:rPr>
        <w:t>RE:</w:t>
      </w:r>
      <w:r>
        <w:rPr>
          <w:sz w:val="24"/>
        </w:rPr>
        <w:tab/>
        <w:tab/>
      </w:r>
      <w:r>
        <w:rPr>
          <w:sz w:val="24"/>
          <w:u w:val="single"/>
        </w:rPr>
        <w:t>Caledonia Interconnect Agreement</w:t>
      </w:r>
    </w:p>
    <w:p>
      <w:pPr>
        <w:pStyle w:val="Normal"/>
        <w:rPr>
          <w:sz w:val="24"/>
        </w:rPr>
      </w:pPr>
      <w:r>
        <w:rPr>
          <w:sz w:val="24"/>
        </w:rPr>
      </w:r>
    </w:p>
    <w:p>
      <w:pPr>
        <w:pStyle w:val="BodyText"/>
        <w:jc w:val="both"/>
        <w:rPr>
          <w:sz w:val="24"/>
        </w:rPr>
      </w:pPr>
      <w:r>
        <w:rPr>
          <w:sz w:val="24"/>
        </w:rPr>
        <w:tab/>
        <w:t>Set forth below is a summary of certain positions/considerations associated with the possible implementation by Caledonia of a second interconnect to the Caledonia Generating Plant (the “Plant”) that would interconnect with the transmission system of a utility affiliate of the Southern Company (the “Southern Interconnect,” and “Southern,” respectively), thereby enabling the Plant to be interconnected with Southern as well as the existing transmission system of TVA.</w:t>
      </w:r>
    </w:p>
    <w:p>
      <w:pPr>
        <w:pStyle w:val="BodyText"/>
        <w:jc w:val="both"/>
        <w:rPr>
          <w:sz w:val="24"/>
        </w:rPr>
      </w:pPr>
      <w:r>
        <w:rPr>
          <w:sz w:val="24"/>
        </w:rPr>
      </w:r>
    </w:p>
    <w:p>
      <w:pPr>
        <w:pStyle w:val="BodyText"/>
        <w:jc w:val="both"/>
        <w:rPr/>
      </w:pPr>
      <w:r>
        <w:rPr>
          <w:i/>
          <w:sz w:val="24"/>
          <w:u w:val="single"/>
        </w:rPr>
        <w:t>Overall Summary Assessment of Caledonia’s Legal Position</w:t>
      </w:r>
      <w:r>
        <w:rPr>
          <w:sz w:val="24"/>
        </w:rPr>
        <w:t xml:space="preserve">:  </w:t>
      </w:r>
    </w:p>
    <w:p>
      <w:pPr>
        <w:pStyle w:val="BodyText"/>
        <w:jc w:val="both"/>
        <w:rPr>
          <w:sz w:val="24"/>
        </w:rPr>
      </w:pPr>
      <w:r>
        <w:rPr>
          <w:sz w:val="24"/>
        </w:rPr>
      </w:r>
    </w:p>
    <w:p>
      <w:pPr>
        <w:pStyle w:val="BodyText"/>
        <w:ind w:firstLine="720" w:end="0"/>
        <w:jc w:val="both"/>
        <w:rPr>
          <w:sz w:val="24"/>
        </w:rPr>
      </w:pPr>
      <w:r>
        <w:rPr>
          <w:sz w:val="24"/>
        </w:rPr>
        <w:t xml:space="preserve">Although the case may ultimately depend in large part on technical and engineering related factual issues which need further development, we think that TVA may well have the “higher ground,” at least under a literal reading of the Interconnect Agreement between Caledonia and TVA (the “IA”); namely, that Caledonia cannot unilaterally build the Southern Interconnect without first securing an amendment to the IA or otherwise obtaining TVA’s consent.  Although we believe Caledonia has a number of good arguments in its favor, if the issues were to be litigated our assessment (based on the provisions in the IA) is that TVA would stand a good chance of prevailing in its assertion that Sec. 7.7 -- which provides that all of the Facility Electrical Output must be delivered to the TVA Control Area – and certain other provisions of the IA (that indirectly support Sec. 7.7) would not permit any of such output to be delivered by the Plant to the Southern Control Area. </w:t>
      </w:r>
    </w:p>
    <w:p>
      <w:pPr>
        <w:pStyle w:val="BodyText"/>
        <w:ind w:firstLine="720" w:end="0"/>
        <w:jc w:val="both"/>
        <w:rPr>
          <w:sz w:val="24"/>
        </w:rPr>
      </w:pPr>
      <w:r>
        <w:rPr>
          <w:sz w:val="24"/>
        </w:rPr>
      </w:r>
    </w:p>
    <w:p>
      <w:pPr>
        <w:pStyle w:val="BodyText"/>
        <w:ind w:firstLine="720" w:end="0"/>
        <w:jc w:val="both"/>
        <w:rPr/>
      </w:pPr>
      <w:r>
        <w:rPr>
          <w:sz w:val="24"/>
        </w:rPr>
        <w:t xml:space="preserve">In another case with which we are familiar where a new merchant plant recently was interconnected both to TVA and another control area (in that case it was Entergy’s), the Interconnect Agreement between TVA and the plant owner specifically provided that the plant could be included, at the option of the plant owner, within the control area of </w:t>
      </w:r>
      <w:r>
        <w:rPr>
          <w:sz w:val="24"/>
          <w:u w:val="single"/>
        </w:rPr>
        <w:t>either</w:t>
      </w:r>
      <w:r>
        <w:rPr>
          <w:sz w:val="24"/>
        </w:rPr>
        <w:t xml:space="preserve"> TVA or Entergy and that the output from such facility could be delivered to either control area.  If TVA objects to the construction of the Southern Interconnect, TVA probably would contend that the first sentence of Sec. 7.7 is clear on its face and that if it was possible for the Plant to deliver output to another control area, then the IA would have contained a number of coordination provisions to account for that, such as advance notice provisions specifying which control area the Plant was designating, etc. This clearly was the case in the above-referenced TVA/Entergy dual interconnect scenario where each of the interconnect agreements made reference to the other and contained certain coordination provisions.  TVA likely would contend that these types of provisions would have existed in the IA if the Plant was permitted to be interconnected with another electric transmission system.</w:t>
      </w:r>
      <w:r>
        <w:rPr>
          <w:rStyle w:val="FootnoteCharacters"/>
          <w:rStyle w:val="FootnoteReference"/>
          <w:sz w:val="24"/>
        </w:rPr>
        <w:footnoteReference w:id="2"/>
      </w:r>
      <w:r>
        <w:rPr>
          <w:sz w:val="24"/>
        </w:rPr>
        <w:t xml:space="preserve"> </w:t>
      </w:r>
    </w:p>
    <w:p>
      <w:pPr>
        <w:pStyle w:val="BodyText"/>
        <w:jc w:val="both"/>
        <w:rPr>
          <w:sz w:val="24"/>
        </w:rPr>
      </w:pPr>
      <w:r>
        <w:rPr>
          <w:sz w:val="24"/>
        </w:rPr>
      </w:r>
    </w:p>
    <w:p>
      <w:pPr>
        <w:pStyle w:val="BodyText"/>
        <w:jc w:val="both"/>
        <w:rPr>
          <w:sz w:val="24"/>
        </w:rPr>
      </w:pPr>
      <w:r>
        <w:rPr>
          <w:sz w:val="24"/>
        </w:rPr>
        <w:tab/>
        <w:t>Nonetheless, Caledonia can make a number of persuasive arguments in support of its view that TVA cannot unilaterally block the construction of the Southern Interconnect, which are summarized below.  One argument would be that the receipt by Caledonia of “control area status” subsequent to the execution of the IA effectively has modified a number of the provisions of that contract, including the interpretation of Section 7.7, and such contract provisions must now be read in light of these intervening factual and regulatory changes.  In addition, even assuming that the construction and operation of the Southern Interconnect will require the acceptance of TVA – which, as noted below, may not in fact be the case (subject to further factual development) – based on Kevin Presto’s response that any such modifications should not permit TVA to make a credible case that a new System Impact Study should be required, such acceptance requirement should not permit TVA to block (or unreasonably delay) the Southern Interconnect since the contract prevents TVA from simply “saying no” when presented with a proposed modification by Caledonia; rather, TVA is required to specify the modifications that will be necessary to secure its acceptance of a covered modification.</w:t>
      </w:r>
    </w:p>
    <w:p>
      <w:pPr>
        <w:pStyle w:val="BodyText"/>
        <w:jc w:val="both"/>
        <w:rPr>
          <w:sz w:val="24"/>
        </w:rPr>
      </w:pPr>
      <w:r>
        <w:rPr>
          <w:sz w:val="24"/>
        </w:rPr>
        <w:t xml:space="preserve"> </w:t>
      </w:r>
    </w:p>
    <w:p>
      <w:pPr>
        <w:pStyle w:val="BodyText"/>
        <w:jc w:val="both"/>
        <w:rPr/>
      </w:pPr>
      <w:r>
        <w:rPr>
          <w:i/>
          <w:sz w:val="24"/>
          <w:u w:val="single"/>
        </w:rPr>
        <w:t>Effect of a TVA Challenge under the IA</w:t>
      </w:r>
      <w:r>
        <w:rPr>
          <w:sz w:val="24"/>
        </w:rPr>
        <w:t>:  If Caledonia commenced development of the Southern Interconnect in the face of a TVA objection, TVA might assert that Caledonia was in breach of a material term of the IA (i.e., Sec. 7.7 and other provisions implying that all output must be delivered into the TVA system) and declare a default under Sec. 1.2(iv) that probably would, if TVA was successful, permit TVA to terminate the IA. Alternatively, or in addition, TVA may contend, among other things, that the Southern Interconnect would (1) constitute a modification that requires its affirmative acceptance prior to commencement of construction thereof and (2) be a significant modification and one so tied to system reliability, planning, etc. considerations that construction thereof could not be started until a new System Impact Study was completed, with the result that any action by Caledonia in violation of the foregoing would constitute a breach of its obligations under Sec. 3.3(c), a material term of the IA, and hence a default under Sec. 1.2(iv) or a basis for TVA to disconnect the Facility pursuant to Sec. 7.5(b)(i).  Based on our discussions, a breach of either Sec. 7.7 or the advance/notice approval provisions would not appear to provide TVA with a good argument for additional damages (other than to recover any amounts which otherwise are owed by Caledonia to TVA under the IA).</w:t>
      </w:r>
      <w:r>
        <w:rPr>
          <w:rStyle w:val="FootnoteCharacters"/>
          <w:rStyle w:val="FootnoteReference"/>
          <w:sz w:val="24"/>
        </w:rPr>
        <w:footnoteReference w:id="3"/>
      </w:r>
      <w:r>
        <w:rPr>
          <w:sz w:val="24"/>
        </w:rPr>
        <w:t xml:space="preserve">  Further, we may wish to discuss with a litigator the likely </w:t>
      </w:r>
      <w:r>
        <w:rPr>
          <w:i/>
          <w:sz w:val="24"/>
        </w:rPr>
        <w:t>timing</w:t>
      </w:r>
      <w:r>
        <w:rPr>
          <w:sz w:val="24"/>
        </w:rPr>
        <w:t xml:space="preserve"> of any claim of a material breach of the IA; for example, a breach of Sec. 7.7 arguably would be of an “anticipatory” nature since all of the output from the Facility would continue to be delivered to the TVA Control Area until the Southern Interconnect were to be completed.</w:t>
      </w:r>
    </w:p>
    <w:p>
      <w:pPr>
        <w:pStyle w:val="BodyText"/>
        <w:keepLines/>
        <w:jc w:val="both"/>
        <w:rPr>
          <w:i/>
          <w:i/>
          <w:sz w:val="24"/>
          <w:u w:val="single"/>
        </w:rPr>
      </w:pPr>
      <w:r>
        <w:rPr>
          <w:i/>
          <w:sz w:val="24"/>
          <w:u w:val="single"/>
        </w:rPr>
      </w:r>
    </w:p>
    <w:p>
      <w:pPr>
        <w:pStyle w:val="BodyText"/>
        <w:keepLines/>
        <w:jc w:val="both"/>
        <w:rPr/>
      </w:pPr>
      <w:r>
        <w:rPr>
          <w:i/>
          <w:sz w:val="24"/>
          <w:u w:val="single"/>
        </w:rPr>
        <w:t>Brief Summary of Possible Caledonia Arguments/Positions</w:t>
      </w:r>
      <w:r>
        <w:rPr>
          <w:sz w:val="24"/>
        </w:rPr>
        <w:t>:</w:t>
      </w:r>
    </w:p>
    <w:p>
      <w:pPr>
        <w:pStyle w:val="BodyText"/>
        <w:keepLines/>
        <w:jc w:val="both"/>
        <w:rPr>
          <w:sz w:val="24"/>
        </w:rPr>
      </w:pPr>
      <w:r>
        <w:rPr>
          <w:sz w:val="24"/>
        </w:rPr>
      </w:r>
    </w:p>
    <w:p>
      <w:pPr>
        <w:pStyle w:val="BodyText"/>
        <w:keepLines/>
        <w:jc w:val="both"/>
        <w:rPr>
          <w:i/>
          <w:i/>
          <w:sz w:val="24"/>
        </w:rPr>
      </w:pPr>
      <w:r>
        <w:rPr>
          <w:i/>
          <w:sz w:val="24"/>
        </w:rPr>
        <w:t>Section 7.7 Interpretation</w:t>
      </w:r>
    </w:p>
    <w:p>
      <w:pPr>
        <w:pStyle w:val="BodyText"/>
        <w:jc w:val="both"/>
        <w:rPr>
          <w:i/>
          <w:i/>
          <w:sz w:val="24"/>
        </w:rPr>
      </w:pPr>
      <w:r>
        <w:rPr>
          <w:i/>
          <w:sz w:val="24"/>
        </w:rPr>
      </w:r>
    </w:p>
    <w:p>
      <w:pPr>
        <w:pStyle w:val="BodyText"/>
        <w:jc w:val="both"/>
        <w:rPr/>
      </w:pPr>
      <w:r>
        <w:rPr>
          <w:sz w:val="24"/>
          <w:u w:val="single"/>
        </w:rPr>
        <w:t>Threshold Issue</w:t>
      </w:r>
      <w:r>
        <w:rPr>
          <w:sz w:val="24"/>
        </w:rPr>
        <w:t>:  It would appear that, as a threshold matter, Caledonia must be able to overcome TVA’s likely argument that the first sentence of Sec. 7.7 constitutes a complete contractual “block” under the IA against Caledonia constructing an alternative interconnect to Southern’s system/control area.  If this hurdle cannot be overcome, then the “second-level” arguments – which focus on whether or not the Southern Interconnect would constitute a modification that would require TVA’s prior acceptance before it could be built -- probably would not be reached.</w:t>
      </w:r>
    </w:p>
    <w:p>
      <w:pPr>
        <w:pStyle w:val="BodyText"/>
        <w:jc w:val="both"/>
        <w:rPr>
          <w:sz w:val="24"/>
        </w:rPr>
      </w:pPr>
      <w:r>
        <w:rPr>
          <w:sz w:val="24"/>
        </w:rPr>
      </w:r>
    </w:p>
    <w:p>
      <w:pPr>
        <w:pStyle w:val="BodyText"/>
        <w:jc w:val="both"/>
        <w:rPr/>
      </w:pPr>
      <w:r>
        <w:rPr>
          <w:sz w:val="24"/>
        </w:rPr>
        <w:tab/>
      </w:r>
      <w:r>
        <w:rPr>
          <w:rFonts w:cs="WP IconicSymbolsA" w:ascii="WP IconicSymbolsA" w:hAnsi="WP IconicSymbolsA"/>
          <w:sz w:val="24"/>
        </w:rPr>
        <w:sym w:font="WP IconicSymbolsA" w:char="f0fb"/>
        <w:sym w:font="WP IconicSymbolsA" w:char="f020"/>
        <w:sym w:font="WP IconicSymbolsA" w:char="f020"/>
      </w:r>
      <w:r>
        <w:rPr>
          <w:sz w:val="24"/>
        </w:rPr>
        <w:t>Caledonia may be able to argue that Sec. 7.7 is a provision designed for Caledonia’s sole benefit; that is, it provides assurance that TVA will accept the Facility Electrical Output into its system and, thus, Caledonia should be entitled to “waive” this contractual benefit.  This argument likely would not withstand scrutiny if, among other things, TVA could reasonably demonstrate that having contractual assurance that all Facility Electrical Output will be delivered to its system resulted in a benefit to it, such as increasing or benefiting the safety, reliability or operation of its transmission system.  Kevin Presto’s responses suggest that TVA may not be able to make a legitimate claim in this respect.</w:t>
      </w:r>
    </w:p>
    <w:p>
      <w:pPr>
        <w:pStyle w:val="BodyText"/>
        <w:jc w:val="both"/>
        <w:rPr>
          <w:sz w:val="24"/>
        </w:rPr>
      </w:pPr>
      <w:r>
        <w:rPr>
          <w:sz w:val="24"/>
        </w:rPr>
      </w:r>
    </w:p>
    <w:p>
      <w:pPr>
        <w:pStyle w:val="BodyText"/>
        <w:jc w:val="both"/>
        <w:rPr/>
      </w:pPr>
      <w:r>
        <w:rPr>
          <w:sz w:val="24"/>
        </w:rPr>
        <w:tab/>
      </w:r>
      <w:r>
        <w:rPr>
          <w:rFonts w:cs="WP IconicSymbolsA" w:ascii="WP IconicSymbolsA" w:hAnsi="WP IconicSymbolsA"/>
          <w:sz w:val="24"/>
        </w:rPr>
        <w:sym w:font="WP IconicSymbolsA" w:char="f0fb"/>
        <w:sym w:font="WP IconicSymbolsA" w:char="f020"/>
        <w:sym w:font="WP IconicSymbolsA" w:char="f020"/>
      </w:r>
      <w:r>
        <w:rPr>
          <w:sz w:val="24"/>
        </w:rPr>
        <w:t>Caledonia also could argue that even if it were to be considered to have breached Sec. 7.7 of the IA (or the notice/acceptance provisions noted below), any such breach should not be considered a breach (or “noncompliance” with) a “</w:t>
      </w:r>
      <w:r>
        <w:rPr>
          <w:sz w:val="24"/>
          <w:u w:val="single"/>
        </w:rPr>
        <w:t>material</w:t>
      </w:r>
      <w:r>
        <w:rPr>
          <w:sz w:val="24"/>
        </w:rPr>
        <w:t>” term of the IA and therefor TVA could not exercise termination rights under Sec. 1.2 or disconnection rights under Sec. 7.5.  In determining whether a breach is material, the courts look to the extent to which the injured party will be deprived of the benefit it reasonably expected to derive from the transaction.  Stated another way, for a breach to be material it has to involve the occurrence of an event the non-occurrence of which was a condition to the parties’ bargain.  In some cases, if a breach is not material, the injured party may have a right to compensation but cannot terminate the entire agreement.</w:t>
      </w:r>
    </w:p>
    <w:p>
      <w:pPr>
        <w:pStyle w:val="BodyText"/>
        <w:jc w:val="both"/>
        <w:rPr>
          <w:sz w:val="24"/>
        </w:rPr>
      </w:pPr>
      <w:r>
        <w:rPr>
          <w:sz w:val="24"/>
        </w:rPr>
      </w:r>
    </w:p>
    <w:p>
      <w:pPr>
        <w:pStyle w:val="BodyText"/>
        <w:ind w:firstLine="720" w:end="0"/>
        <w:jc w:val="both"/>
        <w:rPr/>
      </w:pPr>
      <w:r>
        <w:rPr>
          <w:sz w:val="24"/>
        </w:rPr>
        <w:t>In determining whether the failure to deliver all of the Facility Electrical Output to TVA’s Control Area would constitute noncompliance with a material term, it is necessary to look to the overall nature of the IA from TVA’s perspective: what were the principal benefits to TVA in entering into the IA in the first place, and what were the important protections (conditions) TVA obtained in the IA’s terms?  As we have discussed, the IA (like many interconnection agreements) is a fairly “one way” agreement in that the benefits are those afforded to the plant owner, in consideration for paying all of the costs of the utility to which the plant is interconnected.  The IA reflects a sort of accommodation by TVA to generators that site plants in close proximity to its transmission system.  TVA does not appear to make any profit or even revenue under the IA (other than the overhead component of its costs) and appears to incur no substantial obligations of any kind that Caledonia is not required to pay for.</w:t>
      </w:r>
      <w:r>
        <w:rPr>
          <w:rStyle w:val="FootnoteCharacters"/>
          <w:rStyle w:val="FootnoteReference"/>
          <w:sz w:val="24"/>
        </w:rPr>
        <w:footnoteReference w:id="4"/>
      </w:r>
      <w:r>
        <w:rPr>
          <w:sz w:val="24"/>
        </w:rPr>
        <w:t xml:space="preserve">  The question then becomes: what is important to TVA in connection with their interconnection agreements and how would the Southern Interconnect affect that?  If it can be demonstrated that having all of the Facility Electrical Output delivered to TVA’s control area has nothing to do with that question and that TVA would have entered into an interconnection agreement with Caledonia providing for two interconnects upon materially identical terms (except possibly for variations in operating procedures), then this argument may be fairly persuasive.</w:t>
      </w:r>
    </w:p>
    <w:p>
      <w:pPr>
        <w:pStyle w:val="BodyText"/>
        <w:ind w:firstLine="720" w:end="0"/>
        <w:jc w:val="both"/>
        <w:rPr>
          <w:sz w:val="24"/>
        </w:rPr>
      </w:pPr>
      <w:r>
        <w:rPr>
          <w:sz w:val="24"/>
        </w:rPr>
      </w:r>
    </w:p>
    <w:p>
      <w:pPr>
        <w:pStyle w:val="BodyText"/>
        <w:ind w:firstLine="720" w:end="0"/>
        <w:jc w:val="both"/>
        <w:rPr/>
      </w:pPr>
      <w:r>
        <w:rPr>
          <w:sz w:val="24"/>
        </w:rPr>
        <w:t>Also of some interest in this respect is that in the merchant plant/dual interconnect scenario involving the TVA and Entergy control areas referred to above, the default provision in that TVA interconnect agreement which corresponds to Sec. 1.2(iv) of the IA is triggered by a breach by the plant owner of “</w:t>
      </w:r>
      <w:r>
        <w:rPr>
          <w:sz w:val="24"/>
          <w:u w:val="single"/>
        </w:rPr>
        <w:t>any</w:t>
      </w:r>
      <w:r>
        <w:rPr>
          <w:sz w:val="24"/>
        </w:rPr>
        <w:t>” of the terms of the agreement.  Thus, the argument in Caledonia’s case is that the addition of the term “material” as a qualifier to the nature of the contract term that must be breached before creating a default by the plant owner constitutes a higher hurdle for TVA to satisfy.  Also, the fact that TVA does in fact enter into interconnection agreements involving more than one interconnect indicates that this may not necessarily be a critical factor in deciding whether to enter into such agreement in the first place.</w:t>
      </w:r>
    </w:p>
    <w:p>
      <w:pPr>
        <w:pStyle w:val="BodyText"/>
        <w:ind w:firstLine="720" w:end="0"/>
        <w:jc w:val="both"/>
        <w:rPr>
          <w:sz w:val="24"/>
        </w:rPr>
      </w:pPr>
      <w:r>
        <w:rPr>
          <w:sz w:val="24"/>
        </w:rPr>
      </w:r>
    </w:p>
    <w:p>
      <w:pPr>
        <w:pStyle w:val="BodyText"/>
        <w:ind w:firstLine="720" w:end="0"/>
        <w:jc w:val="both"/>
        <w:rPr>
          <w:sz w:val="24"/>
        </w:rPr>
      </w:pPr>
      <w:r>
        <w:rPr>
          <w:sz w:val="24"/>
        </w:rPr>
        <w:t xml:space="preserve">However, despite the favorable comparison in the wording of the default sections of the two agreements, it may well be that TVA could make out a strong case that the contract provisions at issue rise to “material” ones.  While Caledonia would make many of the arguments noted by Kevin in his responses that TVA, in reality, generally should be indifferent to the construction of the Southern Interconnect from a systems standpoint (provided Caledonia commits to the types of operating limitations noted by Kevin, such as switching interconnects only during non-peak hours, which theoretically could be handled through amended Operating Committee procedures pursuant to Sec. 6.4), our general sense is that a court would be likely to give a certain amount of deference to genuine system reliability, planning and coordination types of impacts that TVA presumably would cite to support a “materiality” claim – particularly since these would involve technical issues arcane to the average judge. </w:t>
      </w:r>
    </w:p>
    <w:p>
      <w:pPr>
        <w:pStyle w:val="BodyText"/>
        <w:jc w:val="both"/>
        <w:rPr>
          <w:sz w:val="24"/>
        </w:rPr>
      </w:pPr>
      <w:r>
        <w:rPr>
          <w:sz w:val="24"/>
        </w:rPr>
      </w:r>
    </w:p>
    <w:p>
      <w:pPr>
        <w:pStyle w:val="BodyText"/>
        <w:jc w:val="both"/>
        <w:rPr/>
      </w:pPr>
      <w:r>
        <w:rPr>
          <w:sz w:val="24"/>
        </w:rPr>
        <w:tab/>
      </w:r>
      <w:r>
        <w:rPr>
          <w:rFonts w:cs="WP IconicSymbolsA" w:ascii="WP IconicSymbolsA" w:hAnsi="WP IconicSymbolsA"/>
          <w:sz w:val="24"/>
        </w:rPr>
        <w:sym w:font="WP IconicSymbolsA" w:char="f0fb"/>
        <w:sym w:font="WP IconicSymbolsA" w:char="f020"/>
        <w:sym w:font="WP IconicSymbolsA" w:char="f020"/>
      </w:r>
      <w:r>
        <w:rPr>
          <w:sz w:val="24"/>
        </w:rPr>
        <w:t xml:space="preserve">Caledonia could argue that there is some ambiguity in whether all of the Facility Electrical Output must be delivered to the TVA Control Area despite the first sentence of Sec. 7.7.  This stems from the fact that Sec. 2.1 -- dealing with the point of interconnection -- provides that TVA shall accept electrical energy from the Facility at the Point of Interconnection </w:t>
      </w:r>
      <w:r>
        <w:rPr>
          <w:i/>
          <w:sz w:val="24"/>
        </w:rPr>
        <w:t>“up to”</w:t>
      </w:r>
      <w:r>
        <w:rPr>
          <w:sz w:val="24"/>
        </w:rPr>
        <w:t xml:space="preserve"> the amount of the Facility Electrical Output.  Since the term “Facility Electrical Output” is defined in the Definitions section of the IA as the </w:t>
      </w:r>
      <w:r>
        <w:rPr>
          <w:i/>
          <w:sz w:val="24"/>
        </w:rPr>
        <w:t>actual</w:t>
      </w:r>
      <w:r>
        <w:rPr>
          <w:sz w:val="24"/>
        </w:rPr>
        <w:t xml:space="preserve"> amount of output produced, the argument would be that there would be no need to have the “up to” language if all of the net output had to be delivered to TVA.  The argument is that TVA has an obligation to receive up to the entire Facility Electrical Output, but not necessarily that Caledonia must deliver it all to TVA.</w:t>
      </w:r>
    </w:p>
    <w:p>
      <w:pPr>
        <w:pStyle w:val="BodyText"/>
        <w:jc w:val="both"/>
        <w:rPr>
          <w:sz w:val="24"/>
        </w:rPr>
      </w:pPr>
      <w:r>
        <w:rPr>
          <w:sz w:val="24"/>
        </w:rPr>
      </w:r>
    </w:p>
    <w:p>
      <w:pPr>
        <w:pStyle w:val="BodyText"/>
        <w:jc w:val="both"/>
        <w:rPr>
          <w:sz w:val="24"/>
        </w:rPr>
      </w:pPr>
      <w:r>
        <w:rPr>
          <w:sz w:val="24"/>
        </w:rPr>
        <w:tab/>
      </w:r>
      <w:r>
        <w:rPr>
          <w:rFonts w:cs="WP IconicSymbolsA" w:ascii="WP IconicSymbolsA" w:hAnsi="WP IconicSymbolsA"/>
          <w:sz w:val="24"/>
        </w:rPr>
        <w:sym w:font="WP IconicSymbolsA" w:char="f0fb"/>
        <w:sym w:font="WP IconicSymbolsA" w:char="f020"/>
      </w:r>
      <w:r>
        <w:rPr>
          <w:sz w:val="24"/>
        </w:rPr>
        <w:t xml:space="preserve"> Another argument would be that the first sentence of Sec. 7.7 (1) is simply a statement of fact based on circumstances that existed at the time the IA was executed, rather than a contractual commitment on the part of either of the parties and (2) has been rendered inoperative as a result of certain intervening factual/regulatory events that have occurred “outside the contract” but which affect the interpretation of the IA; namely, the fact that since the date of execution of the IA Caledonia itself has been declared a control area (which has been confirmed by NERC) and, thus, in the first instance the Facility Electrical Output arguably is currently being “delivered” to the Caledonia Control Area, not to the TVA Control Area – despite the language in the IA.  This position is further supported by Sec. 7.4, which states that “Caledonia and TVA agree that </w:t>
      </w:r>
      <w:r>
        <w:rPr>
          <w:i/>
          <w:sz w:val="24"/>
        </w:rPr>
        <w:t>the implementation of the Agreement</w:t>
      </w:r>
      <w:r>
        <w:rPr>
          <w:sz w:val="24"/>
        </w:rPr>
        <w:t xml:space="preserve"> shall comply with the then existing (or amended) manuals, standards, and guidelines of NERC…(Emphasis added).  (Of course, however, after the Facility Electrical Output is delivered to the Caledonia Control Area it is then delivered to the TVA Control Area under the current structure).</w:t>
      </w:r>
    </w:p>
    <w:p>
      <w:pPr>
        <w:pStyle w:val="BodyText"/>
        <w:jc w:val="both"/>
        <w:rPr>
          <w:sz w:val="24"/>
        </w:rPr>
      </w:pPr>
      <w:r>
        <w:rPr>
          <w:sz w:val="24"/>
        </w:rPr>
      </w:r>
    </w:p>
    <w:p>
      <w:pPr>
        <w:pStyle w:val="BodyText"/>
        <w:ind w:firstLine="720" w:end="0"/>
        <w:jc w:val="both"/>
        <w:rPr/>
      </w:pPr>
      <w:r>
        <w:rPr>
          <w:rFonts w:cs="WP IconicSymbolsA" w:ascii="WP IconicSymbolsA" w:hAnsi="WP IconicSymbolsA"/>
          <w:sz w:val="24"/>
        </w:rPr>
        <w:sym w:font="WP IconicSymbolsA" w:char="f0fb"/>
        <w:sym w:font="WP IconicSymbolsA" w:char="f020"/>
        <w:sym w:font="WP IconicSymbolsA" w:char="f020"/>
      </w:r>
      <w:r>
        <w:rPr>
          <w:sz w:val="24"/>
        </w:rPr>
        <w:t>Related to the foregoing argument is that the first sentence of Sec. 7.7 should not be interpreted as a physical “delivery” or “receipt” of energy type of obligation.  A sound argument can be made that such sentence really should be read to mean that the Plant shall be “included” in the TVA Control Area, a status that would be relevant for purposes of load control and following, ancillary services obligations, etc., and that Sec. 2.1 is the applicable section dealing with the obligation of TVA to accept physical power from the Plant at the Point of Interconnection.  And, as noted above, that factual statement contained in Sec. 7.7 has been altered by the change in the Plant’s status as its own control area under the NERC rules, and, pursuant to Sec. 7.4, the IA should be read to implement such change.  For example, the same argument could be made with respect to the last sentence of Sec. 8.1 relating to the responsibility of the Plant to TVA for imbalance penalties.  Our understanding is that imbalance penalties are not applicable to transfers of power between two control areas, thereby resulting in the Plant’s post-IA execution status as a control area modifying these terms of the IA.  Lastly, note that reading the first sentence of Sec. 7.7 as being inoperative due to the factual/regulatory change in the Plant’s status should not otherwise affect the meaning or operability of the remaining provisions of Sec. 7.7.</w:t>
      </w:r>
    </w:p>
    <w:p>
      <w:pPr>
        <w:pStyle w:val="BodyText"/>
        <w:jc w:val="both"/>
        <w:rPr>
          <w:sz w:val="24"/>
        </w:rPr>
      </w:pPr>
      <w:r>
        <w:rPr>
          <w:sz w:val="24"/>
        </w:rPr>
      </w:r>
    </w:p>
    <w:p>
      <w:pPr>
        <w:pStyle w:val="BodyText"/>
        <w:jc w:val="both"/>
        <w:rPr>
          <w:i/>
          <w:i/>
          <w:sz w:val="24"/>
        </w:rPr>
      </w:pPr>
      <w:r>
        <w:rPr>
          <w:i/>
          <w:sz w:val="24"/>
        </w:rPr>
        <w:t>Interpretation of Other Potentially Operative Provisions</w:t>
      </w:r>
    </w:p>
    <w:p>
      <w:pPr>
        <w:pStyle w:val="BodyText"/>
        <w:jc w:val="both"/>
        <w:rPr>
          <w:i/>
          <w:i/>
          <w:sz w:val="24"/>
        </w:rPr>
      </w:pPr>
      <w:r>
        <w:rPr>
          <w:i/>
          <w:sz w:val="24"/>
        </w:rPr>
      </w:r>
    </w:p>
    <w:p>
      <w:pPr>
        <w:pStyle w:val="BodyText"/>
        <w:jc w:val="both"/>
        <w:rPr/>
      </w:pPr>
      <w:r>
        <w:rPr>
          <w:sz w:val="24"/>
        </w:rPr>
        <w:tab/>
      </w:r>
      <w:r>
        <w:rPr>
          <w:i/>
          <w:sz w:val="24"/>
        </w:rPr>
        <w:t>Prior Notice and Approval Rights of TVA for Plant Modifications</w:t>
      </w:r>
    </w:p>
    <w:p>
      <w:pPr>
        <w:pStyle w:val="BodyText"/>
        <w:jc w:val="both"/>
        <w:rPr>
          <w:i/>
          <w:i/>
          <w:sz w:val="24"/>
        </w:rPr>
      </w:pPr>
      <w:r>
        <w:rPr>
          <w:i/>
          <w:sz w:val="24"/>
        </w:rPr>
      </w:r>
    </w:p>
    <w:p>
      <w:pPr>
        <w:pStyle w:val="BodyText"/>
        <w:ind w:firstLine="720" w:end="0"/>
        <w:jc w:val="both"/>
        <w:rPr/>
      </w:pPr>
      <w:r>
        <w:rPr>
          <w:rFonts w:cs="WP IconicSymbolsA" w:ascii="WP IconicSymbolsA" w:hAnsi="WP IconicSymbolsA"/>
          <w:sz w:val="24"/>
        </w:rPr>
        <w:sym w:font="WP IconicSymbolsA" w:char="f0fb"/>
        <w:sym w:font="WP IconicSymbolsA" w:char="f020"/>
        <w:sym w:font="WP IconicSymbolsA" w:char="f020"/>
      </w:r>
      <w:r>
        <w:rPr>
          <w:sz w:val="24"/>
        </w:rPr>
        <w:t>Assuming Sec. 7.7 is not an outright contractual block to the development and construction of the Southern Interconnect, Sec. 3.3(c) requires Caledonia to (1) provide detailed plans to TVA of any modification to Caledonia’s Interconnection Facilities, including System Protection Equipment “or to any Facility equipment or specifications previously reviewed by TVA pursuant to the System Impact Study,”</w:t>
      </w:r>
      <w:r>
        <w:rPr>
          <w:rStyle w:val="FootnoteCharacters"/>
          <w:rStyle w:val="FootnoteReference"/>
          <w:sz w:val="24"/>
        </w:rPr>
        <w:footnoteReference w:id="5"/>
      </w:r>
      <w:r>
        <w:rPr>
          <w:sz w:val="24"/>
        </w:rPr>
        <w:t xml:space="preserve"> </w:t>
      </w:r>
      <w:r>
        <w:rPr>
          <w:sz w:val="24"/>
          <w:u w:val="single"/>
        </w:rPr>
        <w:t>and</w:t>
      </w:r>
      <w:r>
        <w:rPr>
          <w:sz w:val="24"/>
        </w:rPr>
        <w:t xml:space="preserve"> (2) actually receive TVA’s written approval thereof </w:t>
      </w:r>
      <w:r>
        <w:rPr>
          <w:i/>
          <w:sz w:val="24"/>
        </w:rPr>
        <w:t>prior to</w:t>
      </w:r>
      <w:r>
        <w:rPr>
          <w:sz w:val="24"/>
        </w:rPr>
        <w:t xml:space="preserve"> making the modification.  The Southern Interconnect (or perhaps a portion thereof) arguably could be captured by the term “Caledonia Interconnection Facilities” if it were to be owned by Caledonia, although “Caledonia Interconnection Facilities” is specifically defined as all “Interconnection Facilities” on Caledonia’s side of the Point of Interconnection (as such facilities are more fully described in Article 3) and “Interconnection Facilities” is in turn defined as those required to deliver output “</w:t>
      </w:r>
      <w:r>
        <w:rPr>
          <w:i/>
          <w:sz w:val="24"/>
        </w:rPr>
        <w:t>to TVA’s transmission system.</w:t>
      </w:r>
      <w:r>
        <w:rPr>
          <w:sz w:val="24"/>
        </w:rPr>
        <w:t>”  This argument is developed in the section below dealing with ownership of the Southern Interconnect by Caledonia or an affiliate thereof.</w:t>
      </w:r>
      <w:r>
        <w:rPr>
          <w:rStyle w:val="FootnoteCharacters"/>
          <w:rStyle w:val="FootnoteReference"/>
          <w:sz w:val="24"/>
        </w:rPr>
        <w:footnoteReference w:id="6"/>
      </w:r>
      <w:r>
        <w:rPr>
          <w:sz w:val="24"/>
        </w:rPr>
        <w:t xml:space="preserve">  </w:t>
      </w:r>
    </w:p>
    <w:p>
      <w:pPr>
        <w:pStyle w:val="BodyText"/>
        <w:ind w:firstLine="720" w:end="0"/>
        <w:jc w:val="both"/>
        <w:rPr>
          <w:sz w:val="24"/>
        </w:rPr>
      </w:pPr>
      <w:r>
        <w:rPr>
          <w:sz w:val="24"/>
        </w:rPr>
      </w:r>
    </w:p>
    <w:p>
      <w:pPr>
        <w:pStyle w:val="BodyText"/>
        <w:ind w:firstLine="720" w:end="0"/>
        <w:jc w:val="both"/>
        <w:rPr/>
      </w:pPr>
      <w:r>
        <w:rPr>
          <w:sz w:val="24"/>
        </w:rPr>
        <w:t>Generally, TVA has 60 days to respond to a modification request covered by Sec. 3.3(c) and if it does not approve it must specify what changes will be necessary to make it acceptable; it simply cannot say “no.”  However, the 60-day response period is subject to certain extensions, which for practical purposes could be for an extended duration, that TVA may attempt to trigger in this case, including perhaps requiring Caledonia to pay (and wait) for TVA to perform a new System Impact Study resulting from adding the Southern Interconnect.  Kevin Presto’s responses suggest that Caledonia may be able to have an independent engineer successfully refute any contention by TVA that the modifications proposed by Caledonia necessitate TVA undertaking another System Impact Study.  If that can be done, TVA is under a fairly short time frame for responding to a proposed request for modification.  The risk, of course, is that TVA contests any such findings of an independent engineer and Caledonia needs to seek legal recourse to obtain a determination that no System Impact Study is required or, alternatively, take the risk that if it elects to go forward in the face of TVA opposition that TVA attempts to terminate the IA or disconnect the Facility from the TVA system.</w:t>
      </w:r>
    </w:p>
    <w:p>
      <w:pPr>
        <w:pStyle w:val="BodyText"/>
        <w:jc w:val="both"/>
        <w:rPr>
          <w:sz w:val="24"/>
        </w:rPr>
      </w:pPr>
      <w:r>
        <w:rPr>
          <w:sz w:val="24"/>
        </w:rPr>
      </w:r>
    </w:p>
    <w:p>
      <w:pPr>
        <w:pStyle w:val="BodyText"/>
        <w:jc w:val="both"/>
        <w:rPr>
          <w:sz w:val="24"/>
        </w:rPr>
      </w:pPr>
      <w:r>
        <w:rPr>
          <w:sz w:val="24"/>
        </w:rPr>
        <w:tab/>
      </w:r>
      <w:r>
        <w:rPr>
          <w:rFonts w:cs="WP IconicSymbolsA" w:ascii="WP IconicSymbolsA" w:hAnsi="WP IconicSymbolsA"/>
          <w:sz w:val="24"/>
        </w:rPr>
        <w:sym w:font="WP IconicSymbolsA" w:char="f0fb"/>
        <w:sym w:font="WP IconicSymbolsA" w:char="f020"/>
        <w:sym w:font="WP IconicSymbolsA" w:char="f020"/>
      </w:r>
      <w:r>
        <w:rPr>
          <w:sz w:val="24"/>
        </w:rPr>
        <w:t xml:space="preserve">Sec. 7.1 also provides a requirement on Caledonia “to notify and coordinate with TVA </w:t>
      </w:r>
      <w:r>
        <w:rPr>
          <w:i/>
          <w:sz w:val="24"/>
        </w:rPr>
        <w:t xml:space="preserve">prior to the commencement of any work </w:t>
      </w:r>
      <w:r>
        <w:rPr>
          <w:sz w:val="24"/>
        </w:rPr>
        <w:t xml:space="preserve">by Caledonia (or contractors or agents performing on Caledonia’s behalf) that may directly or indirectly have an adverse effect on TVA or other electric systems.” (Emphasis added).  Even assuming satisfaction of the “may” have a direct or indirect adverse effect standard, this section is only a prior notice requirement -- not an approval or acceptance requirement -- and, as a practical matter, our sense is that Caledonia would provide advance notice to TVA of the Southern Interconnect in virtually any situation since TVA would quickly become aware of it anyway. </w:t>
      </w:r>
      <w:r>
        <w:rPr>
          <w:rStyle w:val="FootnoteCharacters"/>
          <w:rStyle w:val="FootnoteReference"/>
          <w:sz w:val="24"/>
        </w:rPr>
        <w:footnoteReference w:id="7"/>
      </w:r>
    </w:p>
    <w:p>
      <w:pPr>
        <w:pStyle w:val="BodyText"/>
        <w:jc w:val="both"/>
        <w:rPr>
          <w:sz w:val="24"/>
        </w:rPr>
      </w:pPr>
      <w:r>
        <w:rPr>
          <w:sz w:val="24"/>
        </w:rPr>
      </w:r>
    </w:p>
    <w:p>
      <w:pPr>
        <w:pStyle w:val="BodyText"/>
        <w:jc w:val="both"/>
        <w:rPr/>
      </w:pPr>
      <w:r>
        <w:rPr>
          <w:sz w:val="24"/>
        </w:rPr>
        <w:tab/>
      </w:r>
      <w:r>
        <w:rPr>
          <w:i/>
          <w:sz w:val="24"/>
        </w:rPr>
        <w:t>Modifications to be Made by Caledonia or an Affiliate</w:t>
      </w:r>
    </w:p>
    <w:p>
      <w:pPr>
        <w:pStyle w:val="BodyText"/>
        <w:jc w:val="both"/>
        <w:rPr>
          <w:i/>
          <w:i/>
          <w:sz w:val="24"/>
        </w:rPr>
      </w:pPr>
      <w:r>
        <w:rPr>
          <w:i/>
          <w:sz w:val="24"/>
        </w:rPr>
      </w:r>
    </w:p>
    <w:p>
      <w:pPr>
        <w:pStyle w:val="BodyText"/>
        <w:jc w:val="both"/>
        <w:rPr/>
      </w:pPr>
      <w:r>
        <w:rPr>
          <w:sz w:val="24"/>
        </w:rPr>
        <w:tab/>
      </w:r>
      <w:r>
        <w:rPr>
          <w:rFonts w:cs="WP IconicSymbolsA" w:ascii="WP IconicSymbolsA" w:hAnsi="WP IconicSymbolsA"/>
          <w:sz w:val="24"/>
        </w:rPr>
        <w:sym w:font="WP IconicSymbolsA" w:char="f0fb"/>
        <w:sym w:font="WP IconicSymbolsA" w:char="f020"/>
        <w:sym w:font="WP IconicSymbolsA" w:char="f020"/>
      </w:r>
      <w:r>
        <w:rPr>
          <w:sz w:val="24"/>
        </w:rPr>
        <w:t>The definition of “Caledonia Interconnection Facilities” for purposes of Sec. 3.3(c) means all “Interconnection Facilities” (itself a defined term in the IA) “owned, operated and maintained by Caledonia.”  “Interconnection Facilities” means, essentially, the interconnection-related facilities now or in the future which are necessary to deliver the Facility Electrical Output from the Facility to TVA’s transmission system.  Assuming again the viability of the argument that all of the Facility Electrical Output does not have to be delivered to TVA:</w:t>
      </w:r>
    </w:p>
    <w:p>
      <w:pPr>
        <w:pStyle w:val="BodyText"/>
        <w:jc w:val="both"/>
        <w:rPr>
          <w:sz w:val="24"/>
        </w:rPr>
      </w:pPr>
      <w:r>
        <w:rPr>
          <w:sz w:val="24"/>
        </w:rPr>
      </w:r>
    </w:p>
    <w:p>
      <w:pPr>
        <w:pStyle w:val="BodyText"/>
        <w:numPr>
          <w:ilvl w:val="0"/>
          <w:numId w:val="5"/>
        </w:numPr>
        <w:tabs>
          <w:tab w:val="clear" w:pos="720"/>
          <w:tab w:val="left" w:pos="1080" w:leader="none"/>
        </w:tabs>
        <w:ind w:hanging="360" w:start="1080" w:end="0"/>
        <w:rPr>
          <w:sz w:val="24"/>
        </w:rPr>
      </w:pPr>
      <w:r>
        <w:rPr>
          <w:sz w:val="24"/>
        </w:rPr>
        <w:t xml:space="preserve">since the definition of Interconnection Facilities, which is a subset of the definition of “Caledonia Interconnection Facilities,” only captures facilities necessary to interconnect </w:t>
      </w:r>
      <w:r>
        <w:rPr>
          <w:i/>
          <w:sz w:val="24"/>
        </w:rPr>
        <w:t>with TVA’s transmission system</w:t>
      </w:r>
      <w:r>
        <w:rPr>
          <w:sz w:val="24"/>
        </w:rPr>
        <w:t>, by definition the Southern Interconnect would not be covered by Sec. 3.3(c) – thus, the argument is that no prior notice under that section, and, more importantly, no prior acceptance of TVA of the modification is required with respect to the development and construction thereto;</w:t>
      </w:r>
      <w:r>
        <w:rPr>
          <w:rStyle w:val="FootnoteCharacters"/>
          <w:rStyle w:val="FootnoteReference"/>
          <w:sz w:val="24"/>
        </w:rPr>
        <w:footnoteReference w:id="8"/>
      </w:r>
      <w:r>
        <w:rPr>
          <w:sz w:val="24"/>
        </w:rPr>
        <w:t xml:space="preserve"> and</w:t>
      </w:r>
    </w:p>
    <w:p>
      <w:pPr>
        <w:pStyle w:val="BodyText"/>
        <w:jc w:val="both"/>
        <w:rPr>
          <w:sz w:val="24"/>
        </w:rPr>
      </w:pPr>
      <w:r>
        <w:rPr>
          <w:sz w:val="24"/>
        </w:rPr>
      </w:r>
    </w:p>
    <w:p>
      <w:pPr>
        <w:pStyle w:val="BodyText"/>
        <w:numPr>
          <w:ilvl w:val="0"/>
          <w:numId w:val="2"/>
        </w:numPr>
        <w:tabs>
          <w:tab w:val="clear" w:pos="720"/>
          <w:tab w:val="left" w:pos="1080" w:leader="none"/>
        </w:tabs>
        <w:ind w:hanging="360" w:start="1080" w:end="0"/>
        <w:jc w:val="both"/>
        <w:rPr>
          <w:sz w:val="24"/>
        </w:rPr>
      </w:pPr>
      <w:r>
        <w:rPr>
          <w:sz w:val="24"/>
        </w:rPr>
        <w:t xml:space="preserve">in addition, even assuming that interconnection facilities other than those that tie in with TVA’s transmission system are covered, if the Southern Interconnect facilities were to be owned by an </w:t>
      </w:r>
      <w:r>
        <w:rPr>
          <w:i/>
          <w:sz w:val="24"/>
        </w:rPr>
        <w:t>affiliate</w:t>
      </w:r>
      <w:r>
        <w:rPr>
          <w:sz w:val="24"/>
        </w:rPr>
        <w:t xml:space="preserve"> of Caledonia (or by Southern), those facilities arguably would be outside the scope of the IA and not subject to the prior notice and approval provisions of Sec. 3.3(c) since they literally would not fall within the definition of Caledonia Interconnection Facilities because they would not be “owned, operated and maintained by Caledonia.”</w:t>
      </w:r>
      <w:r>
        <w:rPr>
          <w:rStyle w:val="FootnoteCharacters"/>
          <w:rStyle w:val="FootnoteReference"/>
          <w:sz w:val="24"/>
        </w:rPr>
        <w:footnoteReference w:id="9"/>
      </w:r>
    </w:p>
    <w:p>
      <w:pPr>
        <w:pStyle w:val="BodyText"/>
        <w:jc w:val="both"/>
        <w:rPr>
          <w:sz w:val="24"/>
        </w:rPr>
      </w:pPr>
      <w:r>
        <w:rPr>
          <w:sz w:val="24"/>
        </w:rPr>
      </w:r>
    </w:p>
    <w:p>
      <w:pPr>
        <w:pStyle w:val="BodyText"/>
        <w:jc w:val="both"/>
        <w:rPr>
          <w:i/>
          <w:i/>
          <w:sz w:val="24"/>
        </w:rPr>
      </w:pPr>
      <w:r>
        <w:rPr>
          <w:i/>
          <w:sz w:val="24"/>
        </w:rPr>
        <w:t>Possible Approach to Test TVA’s Position</w:t>
      </w:r>
    </w:p>
    <w:p>
      <w:pPr>
        <w:pStyle w:val="BodyText"/>
        <w:jc w:val="both"/>
        <w:rPr>
          <w:i/>
          <w:i/>
          <w:sz w:val="24"/>
        </w:rPr>
      </w:pPr>
      <w:r>
        <w:rPr>
          <w:i/>
          <w:sz w:val="24"/>
        </w:rPr>
      </w:r>
    </w:p>
    <w:p>
      <w:pPr>
        <w:pStyle w:val="BodyText"/>
        <w:jc w:val="both"/>
        <w:rPr/>
      </w:pPr>
      <w:r>
        <w:rPr>
          <w:sz w:val="24"/>
        </w:rPr>
        <w:tab/>
      </w:r>
      <w:r>
        <w:rPr>
          <w:rFonts w:cs="WP IconicSymbolsA" w:ascii="WP IconicSymbolsA" w:hAnsi="WP IconicSymbolsA"/>
          <w:sz w:val="24"/>
        </w:rPr>
        <w:sym w:font="WP IconicSymbolsA" w:char="f0fb"/>
        <w:sym w:font="WP IconicSymbolsA" w:char="f020"/>
        <w:sym w:font="WP IconicSymbolsA" w:char="f020"/>
      </w:r>
      <w:r>
        <w:rPr>
          <w:sz w:val="24"/>
        </w:rPr>
        <w:t>One possibility may be for Caledonia to send a letter to TVA notifying it that Caledonia and ENA are in discussions with Southern about establishing the Southern Interconnect, indicating that such interconnect may be owned in whole or in part by Caledonia, an affiliate of ENA or Southern.  The following points might be made in the letter:</w:t>
      </w:r>
    </w:p>
    <w:p>
      <w:pPr>
        <w:pStyle w:val="BodyText"/>
        <w:jc w:val="both"/>
        <w:rPr>
          <w:sz w:val="24"/>
        </w:rPr>
      </w:pPr>
      <w:r>
        <w:rPr>
          <w:sz w:val="24"/>
        </w:rPr>
      </w:r>
    </w:p>
    <w:p>
      <w:pPr>
        <w:pStyle w:val="BodyText"/>
        <w:numPr>
          <w:ilvl w:val="0"/>
          <w:numId w:val="3"/>
        </w:numPr>
        <w:tabs>
          <w:tab w:val="clear" w:pos="720"/>
          <w:tab w:val="left" w:pos="1080" w:leader="none"/>
        </w:tabs>
        <w:ind w:hanging="360" w:start="1080" w:end="0"/>
        <w:jc w:val="both"/>
        <w:rPr>
          <w:sz w:val="24"/>
        </w:rPr>
      </w:pPr>
      <w:r>
        <w:rPr>
          <w:sz w:val="24"/>
        </w:rPr>
        <w:t>Caledonia does not believe that it needs to obtain TVA’s approval to develop and implement the Southern Interconnect, but wanted to provide TVA with notice thereof in consideration of their overall relationship under the IA pertaining to the ongoing operations of the Plant.</w:t>
      </w:r>
      <w:r>
        <w:rPr>
          <w:rStyle w:val="FootnoteCharacters"/>
          <w:rStyle w:val="FootnoteReference"/>
          <w:sz w:val="24"/>
        </w:rPr>
        <w:footnoteReference w:id="10"/>
      </w:r>
      <w:r>
        <w:rPr>
          <w:sz w:val="24"/>
        </w:rPr>
        <w:t xml:space="preserve"> The letter might conclude with a statement that if it proceeds with Southern to develop and construct the Southern Interconnect that it will use reasonable efforts to keep TVA reasonably informed of the status and timing of any such project.   It could also note (based on Kevin Presto’s responses) that while Caledonia does not envision the new interconnect affecting TVA or its system in any significant way that Caledonia would be willing to work with TVA to accommodate reasonable requests of TVA that it may reasonably believe may be required to coordinate the activities or systems of the various parties, as contemplated by the Operating Committee process in the IA (including, for example, a restriction on the ability of the Plant to switch interconnects only during non-peak periods).  The purpose of this letter would be to determine whether TVA responds with a claim of default (or prospective default) pursuant to Sec. 1.2(iv) or a notice of disconnection pursuant to Sec. 7.5(b), or otherwise asserts that Caledonia has breached or will be in breach of one or more of its obligations under the IA if it continues such actions.  In any such case, Caledonia could elect to discontinue its efforts and be able to “cure” its actions without running the risk of TVA successfully terminating the IA.  Pursuant to Sec. 1.2(iv) Caledonia has 60 days to cure a breach of a material term of the IA; Caledonia is able to cure a breach pursuant to Sec. 7.5 as well.</w:t>
      </w:r>
    </w:p>
    <w:p>
      <w:pPr>
        <w:pStyle w:val="BodyText"/>
        <w:jc w:val="both"/>
        <w:rPr>
          <w:sz w:val="24"/>
        </w:rPr>
      </w:pPr>
      <w:r>
        <w:rPr>
          <w:sz w:val="24"/>
        </w:rPr>
      </w:r>
    </w:p>
    <w:p>
      <w:pPr>
        <w:pStyle w:val="BodyText"/>
        <w:ind w:firstLine="720" w:end="0"/>
        <w:jc w:val="both"/>
        <w:rPr/>
      </w:pPr>
      <w:r>
        <w:rPr>
          <w:rFonts w:cs="WP IconicSymbolsA" w:ascii="WP IconicSymbolsA" w:hAnsi="WP IconicSymbolsA"/>
          <w:sz w:val="24"/>
        </w:rPr>
        <w:sym w:font="WP IconicSymbolsA" w:char="f0fb"/>
      </w:r>
      <w:r>
        <w:rPr>
          <w:rFonts w:cs="WP IconicSymbolsA" w:ascii="WP IconicSymbolsA" w:hAnsi="WP IconicSymbolsA"/>
          <w:sz w:val="24"/>
        </w:rPr>
        <w:tab/>
      </w:r>
      <w:r>
        <w:rPr>
          <w:sz w:val="24"/>
        </w:rPr>
        <w:t>We should also discuss with ENA’s litigation manager the procedural avenues that Caledonia may have available to it to receive an answer to the issues posed herein pertaining to the interpretation of a number of contract provisions within a period of time that does not render the development and construction of the Southern Interconnect impracticable.  For example, could Caledonia obtain a temporary injunction against TVA terminating the IA or disconnecting the Facility from the TVA transmission system while Caledonia or an affiliate moves forward with Southern on the Southern Interconnect, with the result that Caledonia would be at risk that the time and expense associated with the Southern Interconnect would potentially be lost if the court ultimately ruled against it; however, the IA would continue in place?</w:t>
      </w:r>
    </w:p>
    <w:p>
      <w:pPr>
        <w:pStyle w:val="BodyText"/>
        <w:jc w:val="both"/>
        <w:rPr>
          <w:sz w:val="24"/>
        </w:rPr>
      </w:pPr>
      <w:r>
        <w:rPr>
          <w:sz w:val="24"/>
        </w:rPr>
      </w:r>
    </w:p>
    <w:p>
      <w:pPr>
        <w:pStyle w:val="BodyText"/>
        <w:numPr>
          <w:ilvl w:val="0"/>
          <w:numId w:val="9"/>
        </w:numPr>
        <w:tabs>
          <w:tab w:val="clear" w:pos="720"/>
        </w:tabs>
        <w:ind w:firstLine="720" w:start="0" w:end="0"/>
        <w:jc w:val="both"/>
        <w:rPr>
          <w:sz w:val="24"/>
        </w:rPr>
      </w:pPr>
      <w:r>
        <w:rPr>
          <w:sz w:val="24"/>
        </w:rPr>
        <w:t>One commercial/legal risk is that TVA does not respond to the “notification” letter from Caledonia described above and permits Caledonia to proceed with incurring the time and expense of developing and constructing the Southern Interconnect – on the basis that no “current” breach of the IA has occurred – and waits until such alternative interconnect goes into commercial operation before asserting a contract default.  A court may take a dim view of TVA “sitting on its rights” in this respect when it knew Caledonia was relying upon its non-response by moving forward with a major capital investment.  The letter perhaps could include a statement to the effect that no response by TVA by a designated “cut off” date will be assumed to be equivalent to no objection.</w:t>
      </w:r>
    </w:p>
    <w:p>
      <w:pPr>
        <w:pStyle w:val="BodyText"/>
        <w:jc w:val="both"/>
        <w:rPr>
          <w:sz w:val="24"/>
        </w:rPr>
      </w:pPr>
      <w:r>
        <w:rPr>
          <w:sz w:val="24"/>
        </w:rPr>
      </w:r>
    </w:p>
    <w:p>
      <w:pPr>
        <w:pStyle w:val="BodyText"/>
        <w:jc w:val="both"/>
        <w:rPr>
          <w:i/>
          <w:i/>
          <w:sz w:val="24"/>
        </w:rPr>
      </w:pPr>
      <w:r>
        <w:rPr>
          <w:i/>
          <w:sz w:val="24"/>
        </w:rPr>
        <w:t>Other Issues to be Addressed</w:t>
      </w:r>
    </w:p>
    <w:p>
      <w:pPr>
        <w:pStyle w:val="BodyText"/>
        <w:jc w:val="both"/>
        <w:rPr>
          <w:i/>
          <w:i/>
          <w:sz w:val="24"/>
        </w:rPr>
      </w:pPr>
      <w:r>
        <w:rPr>
          <w:i/>
          <w:sz w:val="24"/>
        </w:rPr>
      </w:r>
    </w:p>
    <w:p>
      <w:pPr>
        <w:pStyle w:val="BodyText"/>
        <w:jc w:val="both"/>
        <w:rPr>
          <w:sz w:val="24"/>
        </w:rPr>
      </w:pPr>
      <w:r>
        <w:rPr>
          <w:sz w:val="24"/>
        </w:rPr>
        <w:tab/>
        <w:t>As we have discussed, a few additional areas of inquiry are necessary before a course of action is determined, including:</w:t>
      </w:r>
    </w:p>
    <w:p>
      <w:pPr>
        <w:pStyle w:val="BodyText"/>
        <w:jc w:val="both"/>
        <w:rPr>
          <w:sz w:val="24"/>
        </w:rPr>
      </w:pPr>
      <w:r>
        <w:rPr>
          <w:sz w:val="24"/>
        </w:rPr>
      </w:r>
    </w:p>
    <w:p>
      <w:pPr>
        <w:pStyle w:val="BodyText"/>
        <w:numPr>
          <w:ilvl w:val="0"/>
          <w:numId w:val="4"/>
        </w:numPr>
        <w:jc w:val="both"/>
        <w:rPr>
          <w:sz w:val="24"/>
        </w:rPr>
      </w:pPr>
      <w:r>
        <w:rPr>
          <w:sz w:val="24"/>
        </w:rPr>
        <w:t>A review of financing contract restrictions, limitations, notice provisions, etc., which may be at a corporate level “above” Caledonia.</w:t>
      </w:r>
    </w:p>
    <w:p>
      <w:pPr>
        <w:pStyle w:val="BodyText"/>
        <w:jc w:val="both"/>
        <w:rPr>
          <w:sz w:val="24"/>
        </w:rPr>
      </w:pPr>
      <w:r>
        <w:rPr>
          <w:sz w:val="24"/>
        </w:rPr>
      </w:r>
    </w:p>
    <w:p>
      <w:pPr>
        <w:pStyle w:val="BodyText"/>
        <w:numPr>
          <w:ilvl w:val="0"/>
          <w:numId w:val="6"/>
        </w:numPr>
        <w:jc w:val="both"/>
        <w:rPr>
          <w:sz w:val="24"/>
        </w:rPr>
      </w:pPr>
      <w:r>
        <w:rPr>
          <w:sz w:val="24"/>
        </w:rPr>
        <w:t>A more in depth review of the relevant technical and engineering issues, including TVA possible damage claims.</w:t>
      </w:r>
    </w:p>
    <w:p>
      <w:pPr>
        <w:pStyle w:val="BodyText"/>
        <w:jc w:val="both"/>
        <w:rPr>
          <w:sz w:val="24"/>
        </w:rPr>
      </w:pPr>
      <w:r>
        <w:rPr>
          <w:sz w:val="24"/>
        </w:rPr>
      </w:r>
    </w:p>
    <w:p>
      <w:pPr>
        <w:pStyle w:val="BodyText"/>
        <w:numPr>
          <w:ilvl w:val="0"/>
          <w:numId w:val="8"/>
        </w:numPr>
        <w:jc w:val="both"/>
        <w:rPr>
          <w:sz w:val="24"/>
        </w:rPr>
      </w:pPr>
      <w:r>
        <w:rPr>
          <w:sz w:val="24"/>
        </w:rPr>
        <w:t>An analysis of what operating, planning, dispatching, etc. coordination would be necessary among Caledonia, Southern and TVA.</w:t>
      </w:r>
    </w:p>
    <w:p>
      <w:pPr>
        <w:pStyle w:val="BodyText"/>
        <w:jc w:val="both"/>
        <w:rPr>
          <w:sz w:val="24"/>
        </w:rPr>
      </w:pPr>
      <w:r>
        <w:rPr>
          <w:sz w:val="24"/>
        </w:rPr>
      </w:r>
    </w:p>
    <w:p>
      <w:pPr>
        <w:pStyle w:val="BodyText"/>
        <w:numPr>
          <w:ilvl w:val="0"/>
          <w:numId w:val="7"/>
        </w:numPr>
        <w:jc w:val="both"/>
        <w:rPr>
          <w:sz w:val="24"/>
        </w:rPr>
      </w:pPr>
      <w:r>
        <w:rPr>
          <w:sz w:val="24"/>
        </w:rPr>
        <w:t>A final determination of the regulatory implications of the Southern Interconnect, whether it is owned by Caledonia or an affiliate, including whether such regulatory restrictions may necessitate engineering or operating restrictions (e.g., the use of breakers) that could impact TVA’s operation of its system or raise reliability or similar considerations.</w:t>
      </w:r>
    </w:p>
    <w:p>
      <w:pPr>
        <w:pStyle w:val="BodyText"/>
        <w:jc w:val="both"/>
        <w:rPr>
          <w:sz w:val="24"/>
        </w:rPr>
      </w:pPr>
      <w:r>
        <w:rPr>
          <w:sz w:val="24"/>
        </w:rPr>
      </w:r>
    </w:p>
    <w:p>
      <w:pPr>
        <w:pStyle w:val="BodyText"/>
        <w:jc w:val="both"/>
        <w:rPr>
          <w:sz w:val="24"/>
        </w:rPr>
      </w:pPr>
      <w:r>
        <w:rPr>
          <w:sz w:val="24"/>
        </w:rPr>
      </w:r>
    </w:p>
    <w:p>
      <w:pPr>
        <w:pStyle w:val="BodyText"/>
        <w:jc w:val="both"/>
        <w:rPr>
          <w:sz w:val="24"/>
        </w:rPr>
      </w:pPr>
      <w:r>
        <w:rPr>
          <w:sz w:val="24"/>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IconicSymbolsA">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NYC325410.1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sz w:val="22"/>
        </w:rPr>
        <w:t xml:space="preserve"> </w:t>
      </w:r>
      <w:r>
        <w:rPr>
          <w:sz w:val="22"/>
        </w:rPr>
        <w:t>For example, in the TVA/Entergy dual interconnect scenario, the plant owner was entitled to receive “free” transmission service from TVA to Entergy’s system if, for example, the plant was included in TVA’s control area, but the plant wished to make a sale requiring delivery of energy to the Entergy transmission system.</w:t>
      </w:r>
    </w:p>
    <w:p>
      <w:pPr>
        <w:pStyle w:val="FootnoteText"/>
        <w:rPr>
          <w:sz w:val="22"/>
        </w:rPr>
      </w:pPr>
      <w:r>
        <w:rPr>
          <w:sz w:val="22"/>
        </w:rPr>
      </w:r>
    </w:p>
  </w:footnote>
  <w:footnote w:id="3">
    <w:p>
      <w:pPr>
        <w:pStyle w:val="FootnoteText"/>
        <w:rPr/>
      </w:pPr>
      <w:r>
        <w:rPr>
          <w:rStyle w:val="FootnoteCharacters"/>
        </w:rPr>
        <w:footnoteRef/>
      </w:r>
      <w:r>
        <w:rPr>
          <w:sz w:val="22"/>
        </w:rPr>
        <w:t xml:space="preserve"> </w:t>
      </w:r>
      <w:r>
        <w:rPr>
          <w:sz w:val="22"/>
        </w:rPr>
        <w:t>We will need to do more due diligence on the TVA damages question, including undertaking further discussions with the commercial group familiar with the project.</w:t>
      </w:r>
    </w:p>
  </w:footnote>
  <w:footnote w:id="4">
    <w:p>
      <w:pPr>
        <w:pStyle w:val="FootnoteText"/>
        <w:rPr/>
      </w:pPr>
      <w:r>
        <w:rPr>
          <w:rStyle w:val="FootnoteCharacters"/>
        </w:rPr>
        <w:footnoteRef/>
      </w:r>
      <w:r>
        <w:rPr>
          <w:sz w:val="22"/>
        </w:rPr>
        <w:t xml:space="preserve"> </w:t>
      </w:r>
      <w:r>
        <w:rPr>
          <w:sz w:val="22"/>
        </w:rPr>
        <w:t>We assume, however, that TVA may have a different view on this issue.</w:t>
      </w:r>
    </w:p>
  </w:footnote>
  <w:footnote w:id="5">
    <w:p>
      <w:pPr>
        <w:pStyle w:val="FootnoteText"/>
        <w:rPr/>
      </w:pPr>
      <w:r>
        <w:rPr>
          <w:rStyle w:val="FootnoteCharacters"/>
        </w:rPr>
        <w:footnoteRef/>
      </w:r>
      <w:r>
        <w:rPr>
          <w:sz w:val="22"/>
        </w:rPr>
        <w:t xml:space="preserve">  </w:t>
      </w:r>
      <w:r>
        <w:rPr>
          <w:sz w:val="22"/>
        </w:rPr>
        <w:t>We need to understand the precise nature of the facilities and equipment included within these categories to determine whether the construction and operation of the Southern Interconnect would affect them.  Note also that the “trigger” for prior notice and acceptance is of “any” modification, without reference to a materiality standard.  While there probably is some leeway in this respect, a significant modification undoubtedly would be covered.</w:t>
      </w:r>
    </w:p>
    <w:p>
      <w:pPr>
        <w:pStyle w:val="FootnoteText"/>
        <w:rPr>
          <w:sz w:val="22"/>
        </w:rPr>
      </w:pPr>
      <w:r>
        <w:rPr>
          <w:sz w:val="22"/>
        </w:rPr>
      </w:r>
    </w:p>
  </w:footnote>
  <w:footnote w:id="6">
    <w:p>
      <w:pPr>
        <w:pStyle w:val="FootnoteText"/>
        <w:rPr/>
      </w:pPr>
      <w:r>
        <w:rPr>
          <w:rStyle w:val="FootnoteCharacters"/>
        </w:rPr>
        <w:footnoteRef/>
      </w:r>
      <w:r>
        <w:rPr>
          <w:sz w:val="22"/>
        </w:rPr>
        <w:t xml:space="preserve">  </w:t>
      </w:r>
      <w:r>
        <w:rPr>
          <w:sz w:val="22"/>
        </w:rPr>
        <w:t>For these purposes, we have focused on the Caledonia Interconnection Facilities.  However, we also need to diligence the quoted language pertaining to Facility equipment to determine whether that general category would be implicated by the Southern Interconnect, even if such interconnect “escaped” the Sec. 3.3(c) acceptance requirement.</w:t>
      </w:r>
    </w:p>
    <w:p>
      <w:pPr>
        <w:pStyle w:val="FootnoteText"/>
        <w:rPr>
          <w:sz w:val="22"/>
        </w:rPr>
      </w:pPr>
      <w:r>
        <w:rPr>
          <w:sz w:val="22"/>
        </w:rPr>
      </w:r>
    </w:p>
  </w:footnote>
  <w:footnote w:id="7">
    <w:p>
      <w:pPr>
        <w:pStyle w:val="FootnoteText"/>
        <w:rPr/>
      </w:pPr>
      <w:r>
        <w:rPr>
          <w:rStyle w:val="FootnoteCharacters"/>
        </w:rPr>
        <w:footnoteRef/>
      </w:r>
      <w:r>
        <w:rPr>
          <w:sz w:val="22"/>
        </w:rPr>
        <w:t xml:space="preserve"> </w:t>
      </w:r>
      <w:r>
        <w:rPr>
          <w:sz w:val="22"/>
        </w:rPr>
        <w:t>Caledonia’s concern likely would not be the prior notice requirement, but whether TVA could effectively derail the project through refusing to accept a legitimate modification or delaying such acceptance for so long as to make the modification impracticable.</w:t>
      </w:r>
    </w:p>
  </w:footnote>
  <w:footnote w:id="8">
    <w:p>
      <w:pPr>
        <w:pStyle w:val="FootnoteText"/>
        <w:rPr/>
      </w:pPr>
      <w:r>
        <w:rPr>
          <w:rStyle w:val="FootnoteCharacters"/>
        </w:rPr>
        <w:footnoteRef/>
      </w:r>
      <w:r>
        <w:rPr>
          <w:sz w:val="22"/>
        </w:rPr>
        <w:t xml:space="preserve">  </w:t>
      </w:r>
      <w:r>
        <w:rPr>
          <w:sz w:val="22"/>
        </w:rPr>
        <w:t>The Sec. 7.1 prior notice provision is not facility specific and includes work affecting electric systems other than TVA’s and, thus, likely would apply to the development and construction of the Southern Interconnect by Caledonia.  However, as noted above, Sec. 7.1 does not provide for TVA acceptance of the work or the modification.</w:t>
      </w:r>
    </w:p>
    <w:p>
      <w:pPr>
        <w:pStyle w:val="FootnoteText"/>
        <w:rPr>
          <w:sz w:val="22"/>
        </w:rPr>
      </w:pPr>
      <w:r>
        <w:rPr>
          <w:sz w:val="22"/>
        </w:rPr>
      </w:r>
    </w:p>
  </w:footnote>
  <w:footnote w:id="9">
    <w:p>
      <w:pPr>
        <w:pStyle w:val="FootnoteText"/>
        <w:rPr/>
      </w:pPr>
      <w:r>
        <w:rPr>
          <w:rStyle w:val="FootnoteCharacters"/>
        </w:rPr>
        <w:footnoteRef/>
      </w:r>
      <w:r>
        <w:rPr>
          <w:sz w:val="22"/>
        </w:rPr>
        <w:t xml:space="preserve"> </w:t>
      </w:r>
      <w:r>
        <w:rPr>
          <w:sz w:val="22"/>
        </w:rPr>
        <w:t>Ownership of the Southern Interconnect by an affiliate may pose, however, more troublesome regulatory and financing considerations, among others.</w:t>
      </w:r>
    </w:p>
    <w:p>
      <w:pPr>
        <w:pStyle w:val="FootnoteText"/>
        <w:rPr>
          <w:sz w:val="22"/>
        </w:rPr>
      </w:pPr>
      <w:r>
        <w:rPr>
          <w:sz w:val="22"/>
        </w:rPr>
      </w:r>
    </w:p>
  </w:footnote>
  <w:footnote w:id="10">
    <w:p>
      <w:pPr>
        <w:pStyle w:val="FootnoteText"/>
        <w:rPr/>
      </w:pPr>
      <w:r>
        <w:rPr>
          <w:rStyle w:val="FootnoteCharacters"/>
        </w:rPr>
        <w:footnoteRef/>
      </w:r>
      <w:r>
        <w:rPr/>
        <w:t xml:space="preserve"> </w:t>
      </w:r>
      <w:r>
        <w:rPr>
          <w:sz w:val="22"/>
        </w:rPr>
        <w:t>Caledonia may [?] also wish to briefly describe why it wants to interconnect with Southern; for example, to provide itself with more transmission access possibilities in light of, among other reasons, the delays that it has experienced in receiving responses from TVA for transmission service pertaining to energy sales from the Plant.</w:t>
      </w:r>
    </w:p>
    <w:p>
      <w:pPr>
        <w:pStyle w:val="FootnoteText"/>
        <w:rPr>
          <w:sz w:val="22"/>
        </w:rPr>
      </w:pPr>
      <w:r>
        <w:rPr>
          <w:sz w:val="22"/>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1440"/>
        </w:tabs>
        <w:ind w:start="1440" w:hanging="720"/>
      </w:pPr>
      <w:rPr>
        <w:rFonts w:ascii="WP IconicSymbolsA" w:hAnsi="WP IconicSymbolsA" w:cs="WP IconicSymbolsA"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1440"/>
        </w:tabs>
        <w:ind w:start="1440" w:hanging="720"/>
      </w:pPr>
      <w:rPr>
        <w:rFonts w:ascii="WP IconicSymbolsA" w:hAnsi="WP IconicSymbolsA" w:cs="WP IconicSymbolsA" w:hint="default"/>
      </w:rPr>
    </w:lvl>
  </w:abstractNum>
  <w:abstractNum w:abstractNumId="7">
    <w:lvl w:ilvl="0">
      <w:numFmt w:val="bullet"/>
      <w:lvlText w:val=""/>
      <w:lvlJc w:val="start"/>
      <w:pPr>
        <w:tabs>
          <w:tab w:val="num" w:pos="1440"/>
        </w:tabs>
        <w:ind w:start="1440" w:hanging="720"/>
      </w:pPr>
      <w:rPr>
        <w:rFonts w:ascii="WP IconicSymbolsA" w:hAnsi="WP IconicSymbolsA" w:cs="WP IconicSymbolsA" w:hint="default"/>
      </w:rPr>
    </w:lvl>
  </w:abstractNum>
  <w:abstractNum w:abstractNumId="8">
    <w:lvl w:ilvl="0">
      <w:numFmt w:val="bullet"/>
      <w:lvlText w:val=""/>
      <w:lvlJc w:val="start"/>
      <w:pPr>
        <w:tabs>
          <w:tab w:val="num" w:pos="1440"/>
        </w:tabs>
        <w:ind w:start="1440" w:hanging="720"/>
      </w:pPr>
      <w:rPr>
        <w:rFonts w:ascii="WP IconicSymbolsA" w:hAnsi="WP IconicSymbolsA" w:cs="WP IconicSymbolsA" w:hint="default"/>
      </w:rPr>
    </w:lvl>
  </w:abstractNum>
  <w:abstractNum w:abstractNumId="9">
    <w:lvl w:ilvl="0">
      <w:numFmt w:val="bullet"/>
      <w:lvlText w:val=""/>
      <w:lvlJc w:val="start"/>
      <w:pPr>
        <w:tabs>
          <w:tab w:val="num" w:pos="1440"/>
        </w:tabs>
        <w:ind w:start="1440" w:hanging="720"/>
      </w:pPr>
      <w:rPr>
        <w:rFonts w:ascii="WP IconicSymbolsA" w:hAnsi="WP IconicSymbolsA" w:cs="WP IconicSymbolsA"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0" w:end="-1800"/>
      <w:outlineLvl w:val="1"/>
    </w:pPr>
    <w:rPr>
      <w:i/>
      <w:sz w:val="32"/>
    </w:rPr>
  </w:style>
  <w:style w:type="paragraph" w:styleId="Heading3">
    <w:name w:val="heading 3"/>
    <w:basedOn w:val="Normal"/>
    <w:next w:val="Normal"/>
    <w:qFormat/>
    <w:pPr>
      <w:keepNext w:val="true"/>
      <w:numPr>
        <w:ilvl w:val="2"/>
        <w:numId w:val="1"/>
      </w:numPr>
      <w:ind w:firstLine="720" w:start="0" w:end="-1800"/>
      <w:outlineLvl w:val="2"/>
    </w:pPr>
    <w:rPr>
      <w:i/>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P IconicSymbolsA" w:hAnsi="WP IconicSymbolsA" w:cs="WP IconicSymbolsA"/>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P IconicSymbolsA" w:hAnsi="WP IconicSymbolsA" w:cs="WP IconicSymbolsA"/>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P IconicSymbolsA" w:hAnsi="WP IconicSymbolsA" w:cs="WP IconicSymbolsA"/>
    </w:rPr>
  </w:style>
  <w:style w:type="character" w:styleId="WW8Num13z0">
    <w:name w:val="WW8Num13z0"/>
    <w:qFormat/>
    <w:rPr>
      <w:rFonts w:ascii="WP IconicSymbolsA" w:hAnsi="WP IconicSymbolsA" w:cs="WP IconicSymbolsA"/>
    </w:rPr>
  </w:style>
  <w:style w:type="character" w:styleId="WW8Num14z0">
    <w:name w:val="WW8Num14z0"/>
    <w:qFormat/>
    <w:rPr>
      <w:rFonts w:ascii="WP IconicSymbolsA" w:hAnsi="WP IconicSymbolsA" w:cs="WP IconicSymbols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2000-03-05T23:05:00Z</dcterms:created>
  <dc:creator>PCTECH LLGM</dc:creator>
  <dc:description/>
  <dc:language>en-CA</dc:language>
  <cp:lastModifiedBy>LLGM</cp:lastModifiedBy>
  <cp:lastPrinted>2000-03-09T13:00:00Z</cp:lastPrinted>
  <dcterms:modified xsi:type="dcterms:W3CDTF">2000-03-09T15:28:00Z</dcterms:modified>
  <cp:revision>129</cp:revision>
  <dc:subject/>
  <dc:title>PRIVILEGED AND CONFIDENTIAL: ATTORNEY WORK PRODUCT</dc:title>
</cp:coreProperties>
</file>