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4"/>
          <w:lang w:val="en-GB"/>
        </w:rPr>
        <w:t>Date:</w:t>
        <w:tab/>
      </w:r>
      <w:r>
        <w:rPr>
          <w:sz w:val="24"/>
          <w:lang w:val="en-GB"/>
        </w:rPr>
        <w:tab/>
        <w:t xml:space="preserve">6 March 2000  </w:t>
      </w:r>
    </w:p>
    <w:p>
      <w:pPr>
        <w:pStyle w:val="Normal"/>
        <w:rPr/>
      </w:pPr>
      <w:r>
        <w:rPr>
          <w:b/>
          <w:sz w:val="24"/>
          <w:lang w:val="en-GB"/>
        </w:rPr>
        <w:t>To:</w:t>
        <w:tab/>
        <w:tab/>
      </w:r>
      <w:r>
        <w:rPr>
          <w:sz w:val="24"/>
          <w:lang w:val="en-GB"/>
        </w:rPr>
        <w:t>Distribution</w:t>
      </w:r>
    </w:p>
    <w:p>
      <w:pPr>
        <w:pStyle w:val="Normal"/>
        <w:rPr/>
      </w:pPr>
      <w:r>
        <w:rPr>
          <w:b/>
          <w:sz w:val="24"/>
          <w:lang w:val="en-GB"/>
        </w:rPr>
        <w:t>From:</w:t>
        <w:tab/>
      </w:r>
      <w:r>
        <w:rPr>
          <w:sz w:val="24"/>
          <w:lang w:val="en-GB"/>
        </w:rPr>
        <w:tab/>
        <w:t>Government and Regulatory Affairs - Enron Europe</w:t>
      </w:r>
    </w:p>
    <w:p>
      <w:pPr>
        <w:pStyle w:val="Normal"/>
        <w:rPr/>
      </w:pPr>
      <w:r>
        <w:rPr>
          <w:b/>
          <w:sz w:val="24"/>
          <w:lang w:val="en-GB"/>
        </w:rPr>
        <w:t>Subject:</w:t>
        <w:tab/>
      </w:r>
      <w:r>
        <w:rPr>
          <w:sz w:val="24"/>
          <w:lang w:val="en-GB"/>
        </w:rPr>
        <w:t>Weekly Activity Report and Upcoming Schedule</w:t>
      </w:r>
    </w:p>
    <w:p>
      <w:pPr>
        <w:pStyle w:val="Normal"/>
        <w:rPr>
          <w:b/>
          <w:sz w:val="24"/>
          <w:u w:val="single"/>
          <w:lang w:val="en-GB"/>
        </w:rPr>
      </w:pPr>
      <w:r>
        <w:rPr>
          <w:b/>
          <w:sz w:val="24"/>
          <w:u w:val="single"/>
          <w:lang w:val="en-GB"/>
        </w:rPr>
        <w:t>_____________________________________________________________________________</w:t>
      </w:r>
    </w:p>
    <w:p>
      <w:pPr>
        <w:pStyle w:val="Normal"/>
        <w:spacing w:lineRule="atLeast" w:line="240"/>
        <w:rPr>
          <w:b/>
          <w:sz w:val="24"/>
          <w:u w:val="single"/>
          <w:lang w:val="en-GB"/>
        </w:rPr>
      </w:pPr>
      <w:r>
        <w:rPr>
          <w:b/>
          <w:sz w:val="24"/>
          <w:u w:val="single"/>
          <w:lang w:val="en-GB"/>
        </w:rPr>
      </w:r>
    </w:p>
    <w:p>
      <w:pPr>
        <w:pStyle w:val="Normal"/>
        <w:spacing w:lineRule="atLeast" w:line="240"/>
        <w:rPr>
          <w:b/>
          <w:color w:val="000000"/>
          <w:sz w:val="24"/>
          <w:lang w:val="en-GB" w:eastAsia="en-US"/>
        </w:rPr>
      </w:pPr>
      <w:r>
        <w:rPr>
          <w:b/>
          <w:color w:val="000000"/>
          <w:sz w:val="24"/>
          <w:lang w:val="en-GB" w:eastAsia="en-US"/>
        </w:rPr>
        <w:t>UK Energy:</w:t>
      </w:r>
    </w:p>
    <w:p>
      <w:pPr>
        <w:pStyle w:val="Normal"/>
        <w:spacing w:lineRule="atLeast" w:line="240"/>
        <w:rPr>
          <w:b/>
          <w:color w:val="000000"/>
          <w:sz w:val="24"/>
          <w:lang w:val="en-GB" w:eastAsia="en-US"/>
        </w:rPr>
      </w:pPr>
      <w:r>
        <w:rPr>
          <w:b/>
          <w:color w:val="000000"/>
          <w:sz w:val="24"/>
          <w:lang w:val="en-GB" w:eastAsia="en-US"/>
        </w:rPr>
      </w:r>
    </w:p>
    <w:p>
      <w:pPr>
        <w:pStyle w:val="Normal"/>
        <w:spacing w:lineRule="atLeast" w:line="240"/>
        <w:rPr/>
      </w:pPr>
      <w:r>
        <w:rPr>
          <w:rFonts w:cs="Symbol" w:ascii="Symbol" w:hAnsi="Symbol"/>
          <w:color w:val="000000"/>
          <w:sz w:val="24"/>
          <w:lang w:val="en-AU" w:eastAsia="en-US"/>
        </w:rPr>
        <w:sym w:font="Symbol" w:char="f0b7"/>
      </w:r>
      <w:r>
        <w:rPr>
          <w:rFonts w:cs="Symbol" w:ascii="Symbol" w:hAnsi="Symbol"/>
          <w:color w:val="000000"/>
          <w:sz w:val="24"/>
          <w:lang w:val="en-AU" w:eastAsia="en-US"/>
        </w:rPr>
        <w:tab/>
      </w:r>
      <w:r>
        <w:rPr>
          <w:rFonts w:cs="Tms Rmn;Times New Roman" w:ascii="Tms Rmn;Times New Roman" w:hAnsi="Tms Rmn;Times New Roman"/>
          <w:color w:val="000000"/>
          <w:sz w:val="24"/>
          <w:lang w:val="en-AU" w:eastAsia="en-US"/>
        </w:rPr>
        <w:t>OFGEM Consultations:</w:t>
      </w:r>
    </w:p>
    <w:p>
      <w:pPr>
        <w:pStyle w:val="Normal"/>
        <w:spacing w:lineRule="atLeast" w:line="240"/>
        <w:ind w:end="334"/>
        <w:rPr>
          <w:rFonts w:ascii="Tms Rmn;Times New Roman" w:hAnsi="Tms Rmn;Times New Roman" w:cs="Tms Rmn;Times New Roman"/>
          <w:color w:val="000000"/>
          <w:sz w:val="24"/>
          <w:lang w:val="en-AU" w:eastAsia="en-US"/>
        </w:rPr>
      </w:pPr>
      <w:r>
        <w:rPr>
          <w:rFonts w:cs="Tms Rmn;Times New Roman" w:ascii="Tms Rmn;Times New Roman" w:hAnsi="Tms Rmn;Times New Roman"/>
          <w:color w:val="000000"/>
          <w:sz w:val="24"/>
          <w:lang w:val="en-AU" w:eastAsia="en-US"/>
        </w:rPr>
      </w:r>
    </w:p>
    <w:p>
      <w:pPr>
        <w:pStyle w:val="Normal"/>
        <w:spacing w:lineRule="atLeast" w:line="240"/>
        <w:ind w:firstLine="720" w:end="0"/>
        <w:rPr/>
      </w:pPr>
      <w:r>
        <w:rPr>
          <w:color w:val="000000"/>
          <w:sz w:val="24"/>
          <w:lang w:val="en-AU" w:eastAsia="en-US"/>
        </w:rPr>
        <w:t xml:space="preserve">-     </w:t>
      </w:r>
      <w:r>
        <w:rPr>
          <w:rFonts w:cs="Tms Rmn;Times New Roman" w:ascii="Tms Rmn;Times New Roman" w:hAnsi="Tms Rmn;Times New Roman"/>
          <w:color w:val="000000"/>
          <w:sz w:val="24"/>
          <w:lang w:val="en-AU" w:eastAsia="en-US"/>
        </w:rPr>
        <w:t xml:space="preserve">Pool Prices in July Statutory Consultation on Proposed Licence Amendments. We  </w:t>
      </w:r>
    </w:p>
    <w:p>
      <w:pPr>
        <w:pStyle w:val="Normal"/>
        <w:spacing w:lineRule="atLeast" w:line="240"/>
        <w:ind w:start="1080" w:end="334"/>
        <w:rPr>
          <w:rFonts w:ascii="Tms Rmn;Times New Roman" w:hAnsi="Tms Rmn;Times New Roman" w:cs="Tms Rmn;Times New Roman"/>
          <w:color w:val="000000"/>
          <w:sz w:val="24"/>
          <w:lang w:val="en-AU" w:eastAsia="en-US"/>
        </w:rPr>
      </w:pPr>
      <w:r>
        <w:rPr>
          <w:rFonts w:cs="Tms Rmn;Times New Roman" w:ascii="Tms Rmn;Times New Roman" w:hAnsi="Tms Rmn;Times New Roman"/>
          <w:color w:val="000000"/>
          <w:sz w:val="24"/>
          <w:lang w:val="en-AU" w:eastAsia="en-US"/>
        </w:rPr>
        <w:t>submitted comments on 7 February.  These proposals were not accepted by several of the generators (as expected) and we are now awaiting the launch of the resulting Competition Commission investigation.</w:t>
      </w:r>
    </w:p>
    <w:p>
      <w:pPr>
        <w:pStyle w:val="BodyText"/>
        <w:rPr>
          <w:rFonts w:ascii="Times New Roman" w:hAnsi="Times New Roman" w:cs="Times New Roman"/>
          <w:color w:val="000000"/>
          <w:sz w:val="24"/>
          <w:lang w:val="en-AU" w:eastAsia="en-US"/>
        </w:rPr>
      </w:pPr>
      <w:r>
        <w:rPr>
          <w:rFonts w:cs="Times New Roman" w:ascii="Times New Roman" w:hAnsi="Times New Roman"/>
          <w:color w:val="000000"/>
          <w:sz w:val="24"/>
          <w:lang w:val="en-AU" w:eastAsia="en-US"/>
        </w:rPr>
      </w:r>
    </w:p>
    <w:p>
      <w:pPr>
        <w:pStyle w:val="BodyText"/>
        <w:numPr>
          <w:ilvl w:val="0"/>
          <w:numId w:val="7"/>
        </w:numPr>
        <w:rPr>
          <w:rFonts w:ascii="Times New Roman" w:hAnsi="Times New Roman" w:cs="Times New Roman"/>
          <w:sz w:val="24"/>
        </w:rPr>
      </w:pPr>
      <w:r>
        <w:rPr>
          <w:rFonts w:cs="Times New Roman" w:ascii="Times New Roman" w:hAnsi="Times New Roman"/>
          <w:sz w:val="24"/>
        </w:rPr>
        <w:t xml:space="preserve">Transmission access and pricing.  We submitted further comments on 17 February </w:t>
      </w:r>
    </w:p>
    <w:p>
      <w:pPr>
        <w:pStyle w:val="BodyText"/>
        <w:ind w:firstLine="24" w:start="1110" w:end="0"/>
        <w:rPr>
          <w:rFonts w:ascii="Times New Roman" w:hAnsi="Times New Roman" w:cs="Times New Roman"/>
          <w:sz w:val="24"/>
        </w:rPr>
      </w:pPr>
      <w:r>
        <w:rPr>
          <w:rFonts w:cs="Times New Roman" w:ascii="Times New Roman" w:hAnsi="Times New Roman"/>
          <w:sz w:val="24"/>
        </w:rPr>
        <w:t>dealing with the proposals for revising the arrangements for transmission access, losses and pricing.</w:t>
      </w:r>
    </w:p>
    <w:p>
      <w:pPr>
        <w:pStyle w:val="Normal"/>
        <w:spacing w:lineRule="atLeast" w:line="240"/>
        <w:ind w:start="1080" w:end="334"/>
        <w:rPr>
          <w:rFonts w:ascii="Tms Rmn;Times New Roman" w:hAnsi="Tms Rmn;Times New Roman" w:cs="Tms Rmn;Times New Roman"/>
          <w:color w:val="000000"/>
          <w:sz w:val="24"/>
          <w:lang w:val="en-AU" w:eastAsia="en-US"/>
        </w:rPr>
      </w:pPr>
      <w:r>
        <w:rPr>
          <w:rFonts w:cs="Tms Rmn;Times New Roman" w:ascii="Tms Rmn;Times New Roman" w:hAnsi="Tms Rmn;Times New Roman"/>
          <w:color w:val="000000"/>
          <w:sz w:val="24"/>
          <w:lang w:val="en-AU" w:eastAsia="en-US"/>
        </w:rPr>
      </w:r>
    </w:p>
    <w:p>
      <w:pPr>
        <w:pStyle w:val="Normal"/>
        <w:spacing w:lineRule="atLeast" w:line="240"/>
        <w:ind w:end="334"/>
        <w:rPr/>
      </w:pPr>
      <w:r>
        <w:rPr>
          <w:rFonts w:cs="Symbol" w:ascii="Symbol" w:hAnsi="Symbol"/>
          <w:color w:val="000000"/>
          <w:sz w:val="24"/>
          <w:lang w:val="en-AU" w:eastAsia="en-US"/>
        </w:rPr>
        <w:sym w:font="Symbol" w:char="f0b7"/>
      </w:r>
      <w:r>
        <w:rPr>
          <w:rFonts w:cs="Symbol" w:ascii="Symbol" w:hAnsi="Symbol"/>
          <w:color w:val="000000"/>
          <w:sz w:val="24"/>
          <w:lang w:val="en-AU" w:eastAsia="en-US"/>
        </w:rPr>
        <w:tab/>
      </w:r>
      <w:r>
        <w:rPr>
          <w:rFonts w:cs="Tms Rmn;Times New Roman" w:ascii="Tms Rmn;Times New Roman" w:hAnsi="Tms Rmn;Times New Roman"/>
          <w:color w:val="000000"/>
          <w:sz w:val="24"/>
          <w:lang w:val="en-AU" w:eastAsia="en-US"/>
        </w:rPr>
        <w:t xml:space="preserve">We met with Brian Saunders, NETA Programme Director on 16 February to discuss </w:t>
      </w:r>
    </w:p>
    <w:p>
      <w:pPr>
        <w:pStyle w:val="Normal"/>
        <w:spacing w:lineRule="atLeast" w:line="240"/>
        <w:ind w:firstLine="720" w:end="334"/>
        <w:rPr>
          <w:rFonts w:ascii="Tms Rmn;Times New Roman" w:hAnsi="Tms Rmn;Times New Roman" w:cs="Tms Rmn;Times New Roman"/>
          <w:color w:val="000000"/>
          <w:sz w:val="24"/>
          <w:lang w:val="en-AU" w:eastAsia="en-US"/>
        </w:rPr>
      </w:pPr>
      <w:r>
        <w:rPr>
          <w:rFonts w:cs="Tms Rmn;Times New Roman" w:ascii="Tms Rmn;Times New Roman" w:hAnsi="Tms Rmn;Times New Roman"/>
          <w:color w:val="000000"/>
          <w:sz w:val="24"/>
          <w:lang w:val="en-AU" w:eastAsia="en-US"/>
        </w:rPr>
        <w:t>several Enron commercial issues arising from the new trading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Tms Rmn;Times New Roman" w:hAnsi="Tms Rmn;Times New Roman" w:cs="Tms Rmn;Times New Roman"/>
          <w:b/>
          <w:color w:val="000000"/>
          <w:sz w:val="24"/>
          <w:lang w:val="en-AU" w:eastAsia="en-US"/>
        </w:rPr>
      </w:pPr>
      <w:r>
        <w:rPr>
          <w:rFonts w:cs="Tms Rmn;Times New Roman" w:ascii="Tms Rmn;Times New Roman" w:hAnsi="Tms Rmn;Times New Roman"/>
          <w:b/>
          <w:color w:val="000000"/>
          <w:sz w:val="24"/>
          <w:lang w:val="en-AU"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b/>
          <w:color w:val="000000"/>
          <w:sz w:val="24"/>
          <w:lang w:val="en-AU" w:eastAsia="en-US"/>
        </w:rPr>
      </w:pPr>
      <w:r>
        <w:rPr>
          <w:b/>
          <w:color w:val="000000"/>
          <w:sz w:val="24"/>
          <w:lang w:val="en-AU" w:eastAsia="en-US"/>
        </w:rPr>
        <w:t>UK Gas:</w:t>
      </w:r>
    </w:p>
    <w:p>
      <w:pPr>
        <w:pStyle w:val="Normal"/>
        <w:spacing w:lineRule="atLeast" w:line="240"/>
        <w:rPr>
          <w:rFonts w:ascii="Tms Rmn;Times New Roman" w:hAnsi="Tms Rmn;Times New Roman" w:cs="Tms Rmn;Times New Roman"/>
          <w:b/>
          <w:color w:val="000000"/>
          <w:sz w:val="24"/>
          <w:lang w:val="en-AU" w:eastAsia="en-US"/>
        </w:rPr>
      </w:pPr>
      <w:r>
        <w:rPr>
          <w:rFonts w:cs="Tms Rmn;Times New Roman" w:ascii="Tms Rmn;Times New Roman" w:hAnsi="Tms Rmn;Times New Roman"/>
          <w:b/>
          <w:color w:val="000000"/>
          <w:sz w:val="24"/>
          <w:lang w:val="en-AU" w:eastAsia="en-US"/>
        </w:rPr>
      </w:r>
    </w:p>
    <w:p>
      <w:pPr>
        <w:pStyle w:val="Normal"/>
        <w:numPr>
          <w:ilvl w:val="0"/>
          <w:numId w:val="6"/>
        </w:numPr>
        <w:spacing w:lineRule="atLeast" w:line="240"/>
        <w:rPr>
          <w:b/>
          <w:color w:val="000000"/>
          <w:sz w:val="24"/>
          <w:lang w:val="en-GB" w:eastAsia="en-US"/>
        </w:rPr>
      </w:pPr>
      <w:r>
        <w:rPr>
          <w:color w:val="000000"/>
          <w:sz w:val="24"/>
          <w:lang w:val="en-AU" w:eastAsia="en-US"/>
        </w:rPr>
        <w:t>Climate Change Levy - We met with DETR, ETSU and DTI on 25 February to discuss the current consultation on exemptions for 'good quality' CHP.   DETR appeared to accept that some of the proposals created perverse incentives and would consider some relaxation of the less helpful rules such as the creation of a cliff edge for schemes which did not meet the required efficiency factors, and for limitations under transitional arrangements, both of which would affect ETOL.   The closing date for responses is 29 February.</w:t>
        <w:tab/>
      </w:r>
    </w:p>
    <w:p>
      <w:pPr>
        <w:pStyle w:val="Normal"/>
        <w:spacing w:lineRule="atLeast" w:line="240"/>
        <w:rPr>
          <w:b/>
          <w:color w:val="000000"/>
          <w:sz w:val="24"/>
          <w:lang w:val="en-GB" w:eastAsia="en-US"/>
        </w:rPr>
      </w:pPr>
      <w:r>
        <w:rPr>
          <w:b/>
          <w:color w:val="000000"/>
          <w:sz w:val="24"/>
          <w:lang w:val="en-GB" w:eastAsia="en-US"/>
        </w:rPr>
      </w:r>
    </w:p>
    <w:p>
      <w:pPr>
        <w:pStyle w:val="Normal"/>
        <w:spacing w:lineRule="atLeast" w:line="240"/>
        <w:rPr>
          <w:b/>
          <w:color w:val="000000"/>
          <w:sz w:val="24"/>
          <w:lang w:val="en-GB" w:eastAsia="en-US"/>
        </w:rPr>
      </w:pPr>
      <w:r>
        <w:rPr>
          <w:b/>
          <w:color w:val="000000"/>
          <w:sz w:val="24"/>
          <w:lang w:val="en-GB" w:eastAsia="en-US"/>
        </w:rPr>
        <w:t>EU:</w:t>
      </w:r>
    </w:p>
    <w:p>
      <w:pPr>
        <w:pStyle w:val="Normal"/>
        <w:spacing w:lineRule="atLeast" w:line="240"/>
        <w:rPr>
          <w:b/>
          <w:color w:val="000000"/>
          <w:sz w:val="24"/>
          <w:lang w:val="en-GB" w:eastAsia="en-US"/>
        </w:rPr>
      </w:pPr>
      <w:r>
        <w:rPr>
          <w:b/>
          <w:color w:val="000000"/>
          <w:sz w:val="24"/>
          <w:lang w:val="en-GB" w:eastAsia="en-US"/>
        </w:rPr>
      </w:r>
    </w:p>
    <w:p>
      <w:pPr>
        <w:pStyle w:val="Normal"/>
        <w:numPr>
          <w:ilvl w:val="0"/>
          <w:numId w:val="3"/>
        </w:numPr>
        <w:rPr>
          <w:sz w:val="24"/>
        </w:rPr>
      </w:pPr>
      <w:r>
        <w:rPr>
          <w:sz w:val="24"/>
        </w:rPr>
        <w:t>On 15 February we attended the European Commission’s Energy Consultative Committee (ECC) Plenary Session on behalf of EFET.  The ECC received a report from François Lamoureux, the newly appointed head of DG TREN, on the priorities for his DG for this year. Christopher Jones (head of the Internal Market Unit within DG TREN) and André Merlin (Steering Committee, ETSO) reported on the progress of the Florence agenda on cross-border power transmission arrangements.</w:t>
      </w:r>
    </w:p>
    <w:p>
      <w:pPr>
        <w:pStyle w:val="Normal"/>
        <w:rPr>
          <w:sz w:val="24"/>
        </w:rPr>
      </w:pPr>
      <w:r>
        <w:rPr>
          <w:sz w:val="24"/>
        </w:rPr>
      </w:r>
    </w:p>
    <w:p>
      <w:pPr>
        <w:pStyle w:val="Normal"/>
        <w:numPr>
          <w:ilvl w:val="0"/>
          <w:numId w:val="3"/>
        </w:numPr>
        <w:rPr>
          <w:sz w:val="24"/>
        </w:rPr>
      </w:pPr>
      <w:r>
        <w:rPr>
          <w:sz w:val="24"/>
        </w:rPr>
        <w:t>On 16 February we participated in a UK Electricity Association Single Market Working Group meeting. The subject of the meeting was the progress of EU discussions on cross-border transmission and the Electricity Association position.</w:t>
      </w:r>
    </w:p>
    <w:p>
      <w:pPr>
        <w:pStyle w:val="Normal"/>
        <w:rPr>
          <w:sz w:val="24"/>
        </w:rPr>
      </w:pPr>
      <w:r>
        <w:rPr>
          <w:sz w:val="24"/>
        </w:rPr>
      </w:r>
    </w:p>
    <w:p>
      <w:pPr>
        <w:pStyle w:val="Normal"/>
        <w:numPr>
          <w:ilvl w:val="0"/>
          <w:numId w:val="3"/>
        </w:numPr>
        <w:rPr>
          <w:sz w:val="24"/>
        </w:rPr>
      </w:pPr>
      <w:r>
        <w:rPr>
          <w:sz w:val="24"/>
        </w:rPr>
        <w:t>On 22 February we met with Paul Bulteel, General Secretary of Eurelectric, to discuss our contribution to the organisation, the new organisational structure and the range of energy policy activities to be covered by Eurelectric this year.</w:t>
      </w:r>
    </w:p>
    <w:p>
      <w:pPr>
        <w:pStyle w:val="Normal"/>
        <w:rPr>
          <w:sz w:val="24"/>
        </w:rPr>
      </w:pPr>
      <w:r>
        <w:rPr>
          <w:sz w:val="24"/>
        </w:rPr>
      </w:r>
    </w:p>
    <w:p>
      <w:pPr>
        <w:pStyle w:val="Normal"/>
        <w:numPr>
          <w:ilvl w:val="0"/>
          <w:numId w:val="3"/>
        </w:numPr>
        <w:rPr>
          <w:sz w:val="24"/>
        </w:rPr>
      </w:pPr>
      <w:r>
        <w:rPr>
          <w:sz w:val="24"/>
        </w:rPr>
        <w:t>On 25 February we made a supplementary submission to the Merger Task Force within DG Competition on the following issues in their investigation of the Viag/Veba proposed merger: access to interconnection capacity, methodology of selecting a generation plant for divestiture, ways to achieve unbundling of transmission system operation without change of ownership. On 23 February we had received a new questionnaire from the European Commission. The original deadline of 1 March has been extended until 4 March.</w:t>
      </w:r>
    </w:p>
    <w:p>
      <w:pPr>
        <w:pStyle w:val="Normal"/>
        <w:rPr>
          <w:sz w:val="24"/>
        </w:rPr>
      </w:pPr>
      <w:r>
        <w:rPr>
          <w:sz w:val="24"/>
        </w:rPr>
      </w:r>
    </w:p>
    <w:p>
      <w:pPr>
        <w:pStyle w:val="Normal"/>
        <w:jc w:val="both"/>
        <w:rPr>
          <w:sz w:val="24"/>
        </w:rPr>
      </w:pPr>
      <w:r>
        <w:rPr>
          <w:b/>
          <w:sz w:val="24"/>
        </w:rPr>
        <w:t>Belgium:</w:t>
      </w:r>
    </w:p>
    <w:p>
      <w:pPr>
        <w:pStyle w:val="Normal"/>
        <w:jc w:val="both"/>
        <w:rPr>
          <w:sz w:val="24"/>
        </w:rPr>
      </w:pPr>
      <w:r>
        <w:rPr>
          <w:sz w:val="24"/>
        </w:rPr>
      </w:r>
    </w:p>
    <w:p>
      <w:pPr>
        <w:pStyle w:val="Normal"/>
        <w:numPr>
          <w:ilvl w:val="0"/>
          <w:numId w:val="3"/>
        </w:numPr>
        <w:rPr>
          <w:sz w:val="24"/>
        </w:rPr>
      </w:pPr>
      <w:r>
        <w:rPr>
          <w:sz w:val="24"/>
        </w:rPr>
        <w:t>On 17 February we met with the newly established Belgian Regulator, CREG, in order to introduce the company to them, establish contacts and discuss the problems we encounter on the Belgian market and at the borders. The discussion concerned primarily the issues in the electricity market.</w:t>
      </w:r>
    </w:p>
    <w:p>
      <w:pPr>
        <w:pStyle w:val="Normal"/>
        <w:rPr>
          <w:sz w:val="24"/>
        </w:rPr>
      </w:pPr>
      <w:r>
        <w:rPr>
          <w:sz w:val="24"/>
        </w:rPr>
      </w:r>
    </w:p>
    <w:p>
      <w:pPr>
        <w:pStyle w:val="Normal"/>
        <w:numPr>
          <w:ilvl w:val="0"/>
          <w:numId w:val="3"/>
        </w:numPr>
        <w:rPr>
          <w:sz w:val="24"/>
        </w:rPr>
      </w:pPr>
      <w:r>
        <w:rPr>
          <w:sz w:val="24"/>
        </w:rPr>
        <w:t>On 25 February we sent our commentary to CREG on the proposed draft rules for granting authorisation for new generation plant construction in Belgium.</w:t>
      </w:r>
    </w:p>
    <w:p>
      <w:pPr>
        <w:pStyle w:val="Normal"/>
        <w:jc w:val="both"/>
        <w:rPr>
          <w:sz w:val="24"/>
        </w:rPr>
      </w:pPr>
      <w:r>
        <w:rPr>
          <w:sz w:val="24"/>
        </w:rPr>
      </w:r>
    </w:p>
    <w:p>
      <w:pPr>
        <w:pStyle w:val="Normal"/>
        <w:jc w:val="both"/>
        <w:rPr>
          <w:b/>
          <w:sz w:val="24"/>
        </w:rPr>
      </w:pPr>
      <w:r>
        <w:rPr>
          <w:b/>
          <w:sz w:val="24"/>
        </w:rPr>
        <w:t>Denmark:</w:t>
      </w:r>
    </w:p>
    <w:p>
      <w:pPr>
        <w:pStyle w:val="Normal"/>
        <w:jc w:val="both"/>
        <w:rPr>
          <w:b/>
          <w:sz w:val="24"/>
        </w:rPr>
      </w:pPr>
      <w:r>
        <w:rPr>
          <w:b/>
          <w:sz w:val="24"/>
        </w:rPr>
      </w:r>
    </w:p>
    <w:p>
      <w:pPr>
        <w:pStyle w:val="Normal"/>
        <w:numPr>
          <w:ilvl w:val="0"/>
          <w:numId w:val="4"/>
        </w:numPr>
        <w:spacing w:lineRule="atLeast" w:line="240"/>
        <w:rPr>
          <w:color w:val="000000"/>
          <w:sz w:val="24"/>
          <w:lang w:val="en-AU" w:eastAsia="en-US"/>
        </w:rPr>
      </w:pPr>
      <w:r>
        <w:rPr>
          <w:color w:val="000000"/>
          <w:sz w:val="24"/>
          <w:lang w:val="en-AU" w:eastAsia="en-US"/>
        </w:rPr>
        <w:t>The Danish Competition Authority has told us that they are launching an investigation into Elsam's pricing into Nord Pool.  A complaint has been filed.  The allegation is that there is some kind of abuse by Elsam of the Nord Pool price mechanism which is at least partly responsible for the recent Odense price peaks.   We will meet with the Authority on 17 March and may submit comments to this investigation before then.</w:t>
      </w:r>
    </w:p>
    <w:p>
      <w:pPr>
        <w:pStyle w:val="Normal"/>
        <w:jc w:val="both"/>
        <w:rPr>
          <w:color w:val="000000"/>
          <w:sz w:val="24"/>
          <w:lang w:val="en-AU" w:eastAsia="en-US"/>
        </w:rPr>
      </w:pPr>
      <w:r>
        <w:rPr>
          <w:color w:val="000000"/>
          <w:sz w:val="24"/>
          <w:lang w:val="en-AU" w:eastAsia="en-US"/>
        </w:rPr>
      </w:r>
    </w:p>
    <w:p>
      <w:pPr>
        <w:pStyle w:val="Normal"/>
        <w:spacing w:lineRule="atLeast" w:line="240"/>
        <w:rPr>
          <w:color w:val="000000"/>
          <w:sz w:val="24"/>
          <w:lang w:val="en-AU" w:eastAsia="en-US"/>
        </w:rPr>
      </w:pPr>
      <w:r>
        <w:rPr>
          <w:b/>
          <w:color w:val="000000"/>
          <w:sz w:val="24"/>
          <w:lang w:val="en-AU" w:eastAsia="en-US"/>
        </w:rPr>
        <w:t>France:</w:t>
      </w:r>
    </w:p>
    <w:p>
      <w:pPr>
        <w:pStyle w:val="Normal"/>
        <w:spacing w:lineRule="atLeast" w:line="240"/>
        <w:rPr>
          <w:color w:val="000000"/>
          <w:sz w:val="24"/>
          <w:lang w:val="en-AU" w:eastAsia="en-US"/>
        </w:rPr>
      </w:pPr>
      <w:r>
        <w:rPr>
          <w:color w:val="000000"/>
          <w:sz w:val="24"/>
          <w:lang w:val="en-AU" w:eastAsia="en-US"/>
        </w:rPr>
      </w:r>
    </w:p>
    <w:p>
      <w:pPr>
        <w:pStyle w:val="Normal"/>
        <w:numPr>
          <w:ilvl w:val="0"/>
          <w:numId w:val="8"/>
        </w:numPr>
        <w:spacing w:lineRule="atLeast" w:line="240"/>
        <w:rPr>
          <w:color w:val="000000"/>
          <w:sz w:val="24"/>
          <w:lang w:val="en-AU" w:eastAsia="en-US"/>
        </w:rPr>
      </w:pPr>
      <w:r>
        <w:rPr>
          <w:color w:val="000000"/>
          <w:sz w:val="24"/>
          <w:lang w:val="en-AU" w:eastAsia="en-US"/>
        </w:rPr>
        <w:t>EdF-CNES (transmission system operator) presented its plans for releasing capacity on the UK/France Interconnector prior to the March 2001 expiry of the existing capacity agreement held by EdF at an open meeting in Paris on 25 February.  Enron representatives from the French and UK power teams attended.</w:t>
      </w:r>
    </w:p>
    <w:p>
      <w:pPr>
        <w:pStyle w:val="Normal"/>
        <w:spacing w:lineRule="atLeast" w:line="240"/>
        <w:rPr>
          <w:color w:val="000000"/>
          <w:sz w:val="24"/>
          <w:lang w:val="en-AU" w:eastAsia="en-US"/>
        </w:rPr>
      </w:pPr>
      <w:r>
        <w:rPr>
          <w:color w:val="000000"/>
          <w:sz w:val="24"/>
          <w:lang w:val="en-AU" w:eastAsia="en-US"/>
        </w:rPr>
      </w:r>
    </w:p>
    <w:p>
      <w:pPr>
        <w:pStyle w:val="Normal"/>
        <w:spacing w:lineRule="atLeast" w:line="240"/>
        <w:rPr>
          <w:color w:val="000000"/>
          <w:sz w:val="24"/>
          <w:lang w:val="en-AU" w:eastAsia="en-US"/>
        </w:rPr>
      </w:pPr>
      <w:r>
        <w:rPr>
          <w:b/>
          <w:color w:val="000000"/>
          <w:sz w:val="24"/>
          <w:lang w:val="en-AU" w:eastAsia="en-US"/>
        </w:rPr>
        <w:t>Germany:</w:t>
      </w:r>
    </w:p>
    <w:p>
      <w:pPr>
        <w:pStyle w:val="Normal"/>
        <w:spacing w:lineRule="atLeast" w:line="240"/>
        <w:rPr>
          <w:color w:val="000000"/>
          <w:sz w:val="24"/>
          <w:lang w:val="en-AU" w:eastAsia="en-US"/>
        </w:rPr>
      </w:pPr>
      <w:r>
        <w:rPr>
          <w:color w:val="000000"/>
          <w:sz w:val="24"/>
          <w:lang w:val="en-AU" w:eastAsia="en-US"/>
        </w:rPr>
      </w:r>
    </w:p>
    <w:p>
      <w:pPr>
        <w:pStyle w:val="Normal"/>
        <w:numPr>
          <w:ilvl w:val="0"/>
          <w:numId w:val="3"/>
        </w:numPr>
        <w:rPr>
          <w:sz w:val="24"/>
        </w:rPr>
      </w:pPr>
      <w:r>
        <w:rPr>
          <w:sz w:val="24"/>
        </w:rPr>
        <w:t>On 24 February we met with the Federal Cartel Office to discuss the RWE/VEW proposed merger. We expressed our concerns about the impact of the merger on the German electricity and gas markets and suggested our views on what the appropriate remedies would be. We also discussed co-ordination between the Federal Cartel Office and the European Commission in view of the on-going investigation of the Viag/Veba merger case in Brussels.</w:t>
      </w:r>
    </w:p>
    <w:p>
      <w:pPr>
        <w:pStyle w:val="Normal"/>
        <w:rPr>
          <w:sz w:val="24"/>
        </w:rPr>
      </w:pPr>
      <w:r>
        <w:rPr>
          <w:sz w:val="24"/>
        </w:rPr>
      </w:r>
    </w:p>
    <w:p>
      <w:pPr>
        <w:pStyle w:val="Normal"/>
        <w:numPr>
          <w:ilvl w:val="0"/>
          <w:numId w:val="3"/>
        </w:numPr>
        <w:rPr>
          <w:sz w:val="24"/>
        </w:rPr>
      </w:pPr>
      <w:r>
        <w:rPr>
          <w:sz w:val="24"/>
        </w:rPr>
        <w:t>On 23 February we received a questionnaire from the Federal Cartel Office on the RWE/VEW proposed merger. The deadline for submitting a reply is 4 March.</w:t>
      </w:r>
    </w:p>
    <w:p>
      <w:pPr>
        <w:pStyle w:val="Normal"/>
        <w:spacing w:lineRule="atLeast" w:line="240"/>
        <w:rPr>
          <w:color w:val="000000"/>
          <w:sz w:val="24"/>
          <w:lang w:val="en-AU" w:eastAsia="en-US"/>
        </w:rPr>
      </w:pPr>
      <w:r>
        <w:rPr>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Italy:</w:t>
      </w:r>
    </w:p>
    <w:p>
      <w:pPr>
        <w:pStyle w:val="Normal"/>
        <w:spacing w:lineRule="atLeast" w:line="240"/>
        <w:rPr>
          <w:b/>
          <w:color w:val="000000"/>
          <w:sz w:val="24"/>
          <w:lang w:val="en-AU" w:eastAsia="en-US"/>
        </w:rPr>
      </w:pPr>
      <w:r>
        <w:rPr>
          <w:b/>
          <w:color w:val="000000"/>
          <w:sz w:val="24"/>
          <w:lang w:val="en-AU" w:eastAsia="en-US"/>
        </w:rPr>
      </w:r>
    </w:p>
    <w:p>
      <w:pPr>
        <w:pStyle w:val="Normal"/>
        <w:numPr>
          <w:ilvl w:val="0"/>
          <w:numId w:val="11"/>
        </w:numPr>
        <w:spacing w:lineRule="atLeast" w:line="240"/>
        <w:rPr>
          <w:color w:val="000000"/>
          <w:sz w:val="24"/>
          <w:lang w:val="en-AU" w:eastAsia="en-US"/>
        </w:rPr>
      </w:pPr>
      <w:r>
        <w:rPr>
          <w:color w:val="000000"/>
          <w:sz w:val="24"/>
          <w:lang w:val="en-AU" w:eastAsia="en-US"/>
        </w:rPr>
        <w:t>We have sent further comments to the Energy Regulator on the application of the First Come First Served rule to import requests in Italy, following a consultation document where some of our previous concerns were taken into consideration.</w:t>
      </w:r>
    </w:p>
    <w:p>
      <w:pPr>
        <w:pStyle w:val="Normal"/>
        <w:spacing w:lineRule="atLeast" w:line="240"/>
        <w:rPr>
          <w:color w:val="000000"/>
          <w:sz w:val="24"/>
          <w:lang w:val="en-AU" w:eastAsia="en-US"/>
        </w:rPr>
      </w:pPr>
      <w:r>
        <w:rPr>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Norway:</w:t>
      </w:r>
    </w:p>
    <w:p>
      <w:pPr>
        <w:pStyle w:val="Normal"/>
        <w:spacing w:lineRule="atLeast" w:line="240"/>
        <w:rPr>
          <w:rFonts w:ascii="Tms Rmn;Times New Roman" w:hAnsi="Tms Rmn;Times New Roman" w:cs="Tms Rmn;Times New Roman"/>
          <w:b/>
          <w:color w:val="000000"/>
          <w:sz w:val="24"/>
          <w:lang w:val="en-AU" w:eastAsia="en-US"/>
        </w:rPr>
      </w:pPr>
      <w:r>
        <w:rPr>
          <w:rFonts w:cs="Tms Rmn;Times New Roman" w:ascii="Tms Rmn;Times New Roman" w:hAnsi="Tms Rmn;Times New Roman"/>
          <w:b/>
          <w:color w:val="000000"/>
          <w:sz w:val="24"/>
          <w:lang w:val="en-AU" w:eastAsia="en-US"/>
        </w:rPr>
      </w:r>
    </w:p>
    <w:p>
      <w:pPr>
        <w:pStyle w:val="Normal"/>
        <w:numPr>
          <w:ilvl w:val="0"/>
          <w:numId w:val="9"/>
        </w:numPr>
        <w:spacing w:lineRule="atLeast" w:line="240"/>
        <w:rPr>
          <w:color w:val="000000"/>
          <w:sz w:val="24"/>
          <w:lang w:val="en-AU" w:eastAsia="en-US"/>
        </w:rPr>
      </w:pPr>
      <w:r>
        <w:rPr>
          <w:color w:val="000000"/>
          <w:sz w:val="24"/>
          <w:lang w:val="en-AU" w:eastAsia="en-US"/>
        </w:rPr>
        <w:t>We will be providing some informal, confidential input to the European Commission by 10 March in respect of their ongoing inquiries into the Skagerrak cables situation.  It appears that our recent submission to the Norwegian government may have stimulated some renewed interest in Brussels.</w:t>
      </w:r>
    </w:p>
    <w:p>
      <w:pPr>
        <w:pStyle w:val="Normal"/>
        <w:spacing w:lineRule="atLeast" w:line="240"/>
        <w:rPr>
          <w:color w:val="000000"/>
          <w:sz w:val="24"/>
          <w:lang w:val="en-AU" w:eastAsia="en-US"/>
        </w:rPr>
      </w:pPr>
      <w:r>
        <w:rPr>
          <w:color w:val="000000"/>
          <w:sz w:val="24"/>
          <w:lang w:val="en-AU" w:eastAsia="en-US"/>
        </w:rPr>
      </w:r>
    </w:p>
    <w:p>
      <w:pPr>
        <w:pStyle w:val="Normal"/>
        <w:spacing w:lineRule="atLeast" w:line="240"/>
        <w:rPr>
          <w:color w:val="000000"/>
          <w:sz w:val="24"/>
          <w:lang w:val="en-AU" w:eastAsia="en-US"/>
        </w:rPr>
      </w:pPr>
      <w:r>
        <w:rPr>
          <w:b/>
          <w:color w:val="000000"/>
          <w:sz w:val="24"/>
          <w:lang w:val="en-AU" w:eastAsia="en-US"/>
        </w:rPr>
        <w:t>Poland:</w:t>
      </w:r>
    </w:p>
    <w:p>
      <w:pPr>
        <w:pStyle w:val="Normal"/>
        <w:spacing w:lineRule="atLeast" w:line="240"/>
        <w:rPr>
          <w:color w:val="000000"/>
          <w:sz w:val="24"/>
          <w:lang w:val="en-AU" w:eastAsia="en-US"/>
        </w:rPr>
      </w:pPr>
      <w:r>
        <w:rPr>
          <w:color w:val="000000"/>
          <w:sz w:val="24"/>
          <w:lang w:val="en-AU" w:eastAsia="en-US"/>
        </w:rPr>
      </w:r>
    </w:p>
    <w:p>
      <w:pPr>
        <w:pStyle w:val="Normal"/>
        <w:numPr>
          <w:ilvl w:val="0"/>
          <w:numId w:val="2"/>
        </w:numPr>
        <w:spacing w:lineRule="atLeast" w:line="240"/>
        <w:rPr>
          <w:color w:val="000000"/>
          <w:sz w:val="24"/>
          <w:lang w:val="en-AU" w:eastAsia="en-US"/>
        </w:rPr>
      </w:pPr>
      <w:r>
        <w:rPr>
          <w:color w:val="000000"/>
          <w:sz w:val="24"/>
          <w:lang w:val="en-AU" w:eastAsia="en-US"/>
        </w:rPr>
        <w:t>We attended a presentation by the Polish power exchange company on 29 February to explain the status of the project to potential market participants.  We formally submitted our views on the progress made so far to government after the meeting.</w:t>
      </w:r>
    </w:p>
    <w:p>
      <w:pPr>
        <w:pStyle w:val="Normal"/>
        <w:spacing w:lineRule="atLeast" w:line="240"/>
        <w:rPr>
          <w:color w:val="000000"/>
          <w:sz w:val="24"/>
          <w:lang w:val="en-AU" w:eastAsia="en-US"/>
        </w:rPr>
      </w:pPr>
      <w:r>
        <w:rPr>
          <w:color w:val="000000"/>
          <w:sz w:val="24"/>
          <w:lang w:val="en-AU" w:eastAsia="en-US"/>
        </w:rPr>
      </w:r>
    </w:p>
    <w:p>
      <w:pPr>
        <w:pStyle w:val="Normal"/>
        <w:numPr>
          <w:ilvl w:val="0"/>
          <w:numId w:val="2"/>
        </w:numPr>
        <w:spacing w:lineRule="atLeast" w:line="240"/>
        <w:rPr>
          <w:color w:val="000000"/>
          <w:sz w:val="24"/>
          <w:lang w:val="en-AU" w:eastAsia="en-US"/>
        </w:rPr>
      </w:pPr>
      <w:r>
        <w:rPr>
          <w:color w:val="000000"/>
          <w:sz w:val="24"/>
          <w:lang w:val="en-AU" w:eastAsia="en-US"/>
        </w:rPr>
        <w:t>We are putting together with the help of the American Chamber of Commerce a programme of lobbying initiatives to communicate our message on the Commodity Exchange Law and the proposed amendments to the Energy Law.</w:t>
      </w:r>
    </w:p>
    <w:p>
      <w:pPr>
        <w:pStyle w:val="Normal"/>
        <w:spacing w:lineRule="atLeast" w:line="240"/>
        <w:rPr>
          <w:color w:val="000000"/>
          <w:sz w:val="24"/>
          <w:lang w:val="en-AU" w:eastAsia="en-US"/>
        </w:rPr>
      </w:pPr>
      <w:r>
        <w:rPr>
          <w:color w:val="000000"/>
          <w:sz w:val="24"/>
          <w:lang w:val="en-AU" w:eastAsia="en-US"/>
        </w:rPr>
      </w:r>
    </w:p>
    <w:p>
      <w:pPr>
        <w:pStyle w:val="Normal"/>
        <w:spacing w:lineRule="atLeast" w:line="240"/>
        <w:rPr>
          <w:b/>
          <w:color w:val="000000"/>
          <w:sz w:val="24"/>
          <w:lang w:val="en-GB" w:eastAsia="en-US"/>
        </w:rPr>
      </w:pPr>
      <w:r>
        <w:rPr>
          <w:b/>
          <w:color w:val="000000"/>
          <w:sz w:val="24"/>
          <w:lang w:val="en-GB" w:eastAsia="en-US"/>
        </w:rPr>
        <w:t>Romania:</w:t>
      </w:r>
    </w:p>
    <w:p>
      <w:pPr>
        <w:pStyle w:val="Normal"/>
        <w:spacing w:lineRule="atLeast" w:line="240"/>
        <w:rPr>
          <w:b/>
          <w:color w:val="000000"/>
          <w:sz w:val="24"/>
          <w:lang w:val="en-GB" w:eastAsia="en-US"/>
        </w:rPr>
      </w:pPr>
      <w:r>
        <w:rPr>
          <w:b/>
          <w:color w:val="000000"/>
          <w:sz w:val="24"/>
          <w:lang w:val="en-GB" w:eastAsia="en-US"/>
        </w:rPr>
      </w:r>
    </w:p>
    <w:p>
      <w:pPr>
        <w:pStyle w:val="BodyText2"/>
        <w:numPr>
          <w:ilvl w:val="0"/>
          <w:numId w:val="5"/>
        </w:numPr>
        <w:rPr/>
      </w:pPr>
      <w:r>
        <w:rPr/>
        <w:t>We delivered a lecture to the Romanian Energy Policy Association on 2 March on natural gas deregulation in the light of the recently passed ordinances on gas liberalisation.</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color w:val="000000"/>
          <w:sz w:val="24"/>
          <w:lang w:val="en-AU" w:eastAsia="en-US"/>
        </w:rPr>
      </w:pPr>
      <w:r>
        <w:rPr>
          <w:b/>
          <w:color w:val="000000"/>
          <w:sz w:val="24"/>
          <w:lang w:val="en-AU" w:eastAsia="en-US"/>
        </w:rPr>
        <w:t>Spain:</w:t>
      </w:r>
    </w:p>
    <w:p>
      <w:pPr>
        <w:pStyle w:val="Normal"/>
        <w:spacing w:lineRule="atLeast" w:line="240"/>
        <w:rPr>
          <w:color w:val="000000"/>
          <w:sz w:val="24"/>
          <w:lang w:val="en-AU" w:eastAsia="en-US"/>
        </w:rPr>
      </w:pPr>
      <w:r>
        <w:rPr>
          <w:color w:val="000000"/>
          <w:sz w:val="24"/>
          <w:lang w:val="en-AU" w:eastAsia="en-US"/>
        </w:rPr>
      </w:r>
    </w:p>
    <w:p>
      <w:pPr>
        <w:pStyle w:val="Normal"/>
        <w:numPr>
          <w:ilvl w:val="0"/>
          <w:numId w:val="10"/>
        </w:numPr>
        <w:spacing w:lineRule="atLeast" w:line="240"/>
        <w:rPr>
          <w:color w:val="000000"/>
          <w:sz w:val="24"/>
          <w:lang w:val="en-AU" w:eastAsia="en-US"/>
        </w:rPr>
      </w:pPr>
      <w:r>
        <w:rPr>
          <w:color w:val="000000"/>
          <w:sz w:val="24"/>
          <w:lang w:val="en-AU" w:eastAsia="en-US"/>
        </w:rPr>
        <w:t>We sent comments on the proposed new gas tolls. Special emphasis on the proposed different treatment of new and existing power plants, and the cross-subsidisation of NG importers to LNG importers in their access charges.</w:t>
      </w:r>
    </w:p>
    <w:p>
      <w:pPr>
        <w:pStyle w:val="Normal"/>
        <w:spacing w:lineRule="atLeast" w:line="240"/>
        <w:rPr>
          <w:color w:val="000000"/>
          <w:sz w:val="24"/>
          <w:lang w:val="en-AU" w:eastAsia="en-US"/>
        </w:rPr>
      </w:pPr>
      <w:r>
        <w:rPr>
          <w:color w:val="000000"/>
          <w:sz w:val="24"/>
          <w:lang w:val="en-AU" w:eastAsia="en-US"/>
        </w:rPr>
      </w:r>
    </w:p>
    <w:p>
      <w:pPr>
        <w:pStyle w:val="Normal"/>
        <w:spacing w:lineRule="atLeast" w:line="240"/>
        <w:ind w:firstLine="60" w:start="360" w:end="0"/>
        <w:rPr>
          <w:color w:val="000000"/>
          <w:sz w:val="24"/>
          <w:lang w:val="en-AU" w:eastAsia="en-US"/>
        </w:rPr>
      </w:pPr>
      <w:r>
        <w:rPr>
          <w:color w:val="000000"/>
          <w:sz w:val="24"/>
          <w:lang w:val="en-AU" w:eastAsia="en-US"/>
        </w:rPr>
      </w:r>
    </w:p>
    <w:p>
      <w:pPr>
        <w:pStyle w:val="Normal"/>
        <w:spacing w:lineRule="atLeast" w:line="240"/>
        <w:rPr>
          <w:color w:val="000000"/>
          <w:sz w:val="24"/>
          <w:lang w:val="en-AU" w:eastAsia="en-US"/>
        </w:rPr>
      </w:pPr>
      <w:r>
        <w:rPr>
          <w:color w:val="000000"/>
          <w:sz w:val="24"/>
          <w:lang w:val="en-AU" w:eastAsia="en-US"/>
        </w:rPr>
      </w:r>
    </w:p>
    <w:p>
      <w:pPr>
        <w:pStyle w:val="Normal"/>
        <w:spacing w:lineRule="atLeast" w:line="240"/>
        <w:rPr>
          <w:color w:val="000000"/>
          <w:sz w:val="24"/>
          <w:lang w:val="en-GB" w:eastAsia="en-US"/>
        </w:rPr>
      </w:pPr>
      <w:r>
        <w:rPr>
          <w:color w:val="000000"/>
          <w:sz w:val="24"/>
          <w:lang w:val="en-GB" w:eastAsia="en-US"/>
        </w:rPr>
      </w:r>
    </w:p>
    <w:p>
      <w:pPr>
        <w:pStyle w:val="Normal"/>
        <w:jc w:val="both"/>
        <w:rPr/>
      </w:pPr>
      <w:r>
        <w:rPr/>
        <w:t>Distribution:</w:t>
      </w:r>
    </w:p>
    <w:tbl>
      <w:tblPr>
        <w:tblW w:w="9576" w:type="dxa"/>
        <w:jc w:val="start"/>
        <w:tblInd w:w="0" w:type="dxa"/>
        <w:tblLayout w:type="fixed"/>
        <w:tblCellMar>
          <w:top w:w="0" w:type="dxa"/>
          <w:start w:w="108" w:type="dxa"/>
          <w:bottom w:w="0" w:type="dxa"/>
          <w:end w:w="108" w:type="dxa"/>
        </w:tblCellMar>
      </w:tblPr>
      <w:tblGrid>
        <w:gridCol w:w="3227"/>
        <w:gridCol w:w="3157"/>
        <w:gridCol w:w="3192"/>
      </w:tblGrid>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G Novakovic (Moscow)</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S J Kean (Houston)</w:t>
            </w:r>
          </w:p>
        </w:tc>
        <w:tc>
          <w:tcPr>
            <w:tcW w:w="3192"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T Thorn (Houston)</w:t>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J Astramowicz (Warsaw)</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L Kitchen</w:t>
            </w:r>
          </w:p>
        </w:tc>
        <w:tc>
          <w:tcPr>
            <w:tcW w:w="3192"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T Underdown</w:t>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M Austell</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T Kearney</w:t>
            </w:r>
          </w:p>
        </w:tc>
        <w:tc>
          <w:tcPr>
            <w:tcW w:w="3192"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M Von Bock Und Polach</w:t>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D Badger</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D Lewis</w:t>
            </w:r>
          </w:p>
        </w:tc>
        <w:tc>
          <w:tcPr>
            <w:tcW w:w="3192"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C Waltenspuel</w:t>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T Battaglia</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T Lien (Oslo)</w:t>
            </w:r>
          </w:p>
        </w:tc>
        <w:tc>
          <w:tcPr>
            <w:tcW w:w="3192"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J Wasylik</w:t>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A Black</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E Linnell (Houston)</w:t>
            </w:r>
          </w:p>
        </w:tc>
        <w:tc>
          <w:tcPr>
            <w:tcW w:w="3192"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J E Wilson (Houston)</w:t>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Rob Bertasi (EES)</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C Long (Washington)</w:t>
            </w:r>
          </w:p>
        </w:tc>
        <w:tc>
          <w:tcPr>
            <w:tcW w:w="3192"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Govt Affairs (London)</w:t>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J Boyd</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A Marsden</w:t>
            </w:r>
          </w:p>
        </w:tc>
        <w:tc>
          <w:tcPr>
            <w:tcW w:w="3192"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Joe Hillings (Washington)</w:t>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M Brown</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Mark Muller (EES)</w:t>
            </w:r>
          </w:p>
        </w:tc>
        <w:tc>
          <w:tcPr>
            <w:tcW w:w="3192"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Chris McKey (Frankfurt)</w:t>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M N Browning</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D McCarty</w:t>
            </w:r>
          </w:p>
        </w:tc>
        <w:tc>
          <w:tcPr>
            <w:tcW w:w="3192"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L E Paixao</w:t>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J Chapman</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K Miller</w:t>
            </w:r>
          </w:p>
        </w:tc>
        <w:tc>
          <w:tcPr>
            <w:tcW w:w="3192"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Stuart Staley</w:t>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P Chivers</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M Nordstrom</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Kris Trevilyan</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R Poyntz</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R Bertolotti</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C Presiaux</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M Elliott</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R Quick</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M Evans</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M Rossell (Oslo)</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Scott Gahn (EES)</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R Saltiel</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S Ffoulkes</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D Samuels</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M Frevert</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Bruce Stram (EES)</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E Gadd</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S Seeligson</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J Gold</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Chad Small (EES)</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D Grevelle</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P Simons</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M Haedicke</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J Sherriff</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R Harper</w:t>
            </w:r>
          </w:p>
        </w:tc>
        <w:tc>
          <w:tcPr>
            <w:tcW w:w="3157" w:type="dxa"/>
            <w:tcBorders>
              <w:top w:val="single" w:sz="4" w:space="0" w:color="000000"/>
              <w:start w:val="single" w:sz="4" w:space="0" w:color="000000"/>
              <w:bottom w:val="single" w:sz="4" w:space="0" w:color="000000"/>
              <w:end w:val="single" w:sz="4" w:space="0" w:color="000000"/>
            </w:tcBorders>
          </w:tcPr>
          <w:p>
            <w:pPr>
              <w:pStyle w:val="Normal"/>
              <w:rPr>
                <w:lang w:val="en-GB"/>
              </w:rPr>
            </w:pPr>
            <w:r>
              <w:rPr>
                <w:lang w:val="en-GB"/>
              </w:rPr>
              <w:t>J Thompson (Frankfurt)</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lang w:val="en-GB"/>
              </w:rPr>
            </w:pPr>
            <w:r>
              <w:rPr>
                <w:lang w:val="en-GB"/>
              </w:rPr>
            </w:r>
          </w:p>
        </w:tc>
      </w:tr>
    </w:tbl>
    <w:p>
      <w:pPr>
        <w:pStyle w:val="Normal"/>
        <w:jc w:val="both"/>
        <w:rPr>
          <w:lang w:val="en-GB"/>
        </w:rPr>
      </w:pPr>
      <w:r>
        <w:rPr>
          <w:lang w:val="en-GB"/>
        </w:rPr>
      </w:r>
    </w:p>
    <w:sectPr>
      <w:type w:val="nextPage"/>
      <w:pgSz w:w="11906" w:h="16838"/>
      <w:pgMar w:left="1276" w:right="1276"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76"/>
      <w:numFmt w:val="bullet"/>
      <w:lvlText w:val="-"/>
      <w:lvlJc w:val="start"/>
      <w:pPr>
        <w:tabs>
          <w:tab w:val="num" w:pos="1110"/>
        </w:tabs>
        <w:ind w:start="1110" w:hanging="390"/>
      </w:pPr>
      <w:rPr>
        <w:rFonts w:ascii="Liberation Serif" w:hAnsi="Liberation Serif" w:cs="Liberation Serif"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Bookman Old Style" w:hAnsi="Bookman Old Style" w:cs="Bookman Old Style"/>
      <w:b/>
      <w:lang w:val="en-G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Times New Roman" w:hAnsi="Times New Roman" w:cs="Times New Roman"/>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Times New Roman" w:hAnsi="Times New Roman" w:cs="Times New Roman"/>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Wingdings" w:hAnsi="Wingdings" w:cs="Wingdings"/>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Wingdings" w:hAnsi="Wingdings" w:cs="Wingdings"/>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Wingdings" w:hAnsi="Wingdings" w:cs="Wingdings"/>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Wingdings" w:hAnsi="Wingdings" w:cs="Wingdings"/>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Wingdings" w:hAnsi="Wingdings" w:cs="Wingdings"/>
    </w:rPr>
  </w:style>
  <w:style w:type="character" w:styleId="WW8Num350z0">
    <w:name w:val="WW8Num350z0"/>
    <w:qFormat/>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Wingdings" w:hAnsi="Wingdings" w:cs="Wingdings"/>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Wingdings" w:hAnsi="Wingdings" w:cs="Wingdings"/>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style>
  <w:style w:type="character" w:styleId="WW8Num381z0">
    <w:name w:val="WW8Num381z0"/>
    <w:qFormat/>
    <w:rPr>
      <w:rFonts w:ascii="Symbol" w:hAnsi="Symbol" w:cs="Symbol"/>
    </w:rPr>
  </w:style>
  <w:style w:type="character" w:styleId="WW8Num382z0">
    <w:name w:val="WW8Num382z0"/>
    <w:qFormat/>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Wingdings" w:hAnsi="Wingdings" w:cs="Wingdings"/>
    </w:rPr>
  </w:style>
  <w:style w:type="character" w:styleId="WW8Num406z0">
    <w:name w:val="WW8Num406z0"/>
    <w:qFormat/>
    <w:rPr>
      <w:rFonts w:ascii="Wingdings" w:hAnsi="Wingdings" w:cs="Wingdings"/>
    </w:rPr>
  </w:style>
  <w:style w:type="character" w:styleId="WW8Num407z0">
    <w:name w:val="WW8Num407z0"/>
    <w:qFormat/>
    <w:rPr/>
  </w:style>
  <w:style w:type="character" w:styleId="WW8Num408z0">
    <w:name w:val="WW8Num408z0"/>
    <w:qFormat/>
    <w:rPr>
      <w:rFonts w:ascii="Symbol" w:hAnsi="Symbol" w:cs="Symbol"/>
    </w:rPr>
  </w:style>
  <w:style w:type="character" w:styleId="WW8Num409z0">
    <w:name w:val="WW8Num409z0"/>
    <w:qFormat/>
    <w:rPr/>
  </w:style>
  <w:style w:type="character" w:styleId="WW8Num410z0">
    <w:name w:val="WW8Num410z0"/>
    <w:qFormat/>
    <w:rPr>
      <w:rFonts w:ascii="Symbol" w:hAnsi="Symbol" w:cs="Symbol"/>
    </w:rPr>
  </w:style>
  <w:style w:type="character" w:styleId="WW8Num411z0">
    <w:name w:val="WW8Num411z0"/>
    <w:qFormat/>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Wingdings" w:hAnsi="Wingdings" w:cs="Wingdings"/>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Wingdings" w:hAnsi="Wingdings" w:cs="Wingdings"/>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Times New Roman" w:hAnsi="Times New Roman" w:cs="Times New Roman"/>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Helv;Arial" w:hAnsi="Helv;Arial" w:cs="Helv;Arial"/>
      <w:color w:val="000000"/>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360" w:end="0"/>
    </w:pPr>
    <w:rPr>
      <w:color w:val="000000"/>
      <w:sz w:val="24"/>
      <w:lang w:val="en-AU" w:eastAsia="en-US"/>
    </w:rPr>
  </w:style>
  <w:style w:type="paragraph" w:styleId="BodyText2">
    <w:name w:val="Body Text 2"/>
    <w:basedOn w:val="Normal"/>
    <w:qFormat/>
    <w:pPr>
      <w:spacing w:lineRule="atLeast" w:line="240"/>
    </w:pPr>
    <w:rPr>
      <w:color w:val="000000"/>
      <w:sz w:val="24"/>
      <w:lang w:val="en-AU" w:eastAsia="en-US"/>
    </w:rPr>
  </w:style>
  <w:style w:type="paragraph" w:styleId="BodyText3">
    <w:name w:val="Body Text 3"/>
    <w:basedOn w:val="Normal"/>
    <w:qFormat/>
    <w:pPr>
      <w:spacing w:lineRule="atLeast" w:line="240"/>
      <w:ind w:hanging="0" w:start="0" w:end="334"/>
    </w:pPr>
    <w:rPr>
      <w:rFonts w:ascii="Tms Rmn;Times New Roman" w:hAnsi="Tms Rmn;Times New Roman" w:cs="Tms Rmn;Times New Roman"/>
      <w:color w:val="000000"/>
      <w:sz w:val="24"/>
      <w:lang w:val="en-AU"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2000-03-06T13:55:00Z</dcterms:created>
  <dc:creator>sharon killey</dc:creator>
  <dc:description/>
  <dc:language>en-CA</dc:language>
  <cp:lastModifiedBy>Administrator</cp:lastModifiedBy>
  <cp:lastPrinted>2000-02-29T09:55:00Z</cp:lastPrinted>
  <dcterms:modified xsi:type="dcterms:W3CDTF">2000-03-06T13:55:00Z</dcterms:modified>
  <cp:revision>2</cp:revision>
  <dc:subject/>
  <dc:title>Date:</dc:title>
</cp:coreProperties>
</file>