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2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
          <w:rFonts w:cs="Humanst521 Lt BT" w:ascii="Humanst521 Lt BT" w:hAnsi="Humanst521 Lt BT"/>
        </w:rPr>
        <w:instrText xml:space="preserve">ADVANCE \d 1"</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fldChar w:fldCharType="begin"/>
      </w:r>
      <w:r>
        <w:rPr>
          <w:i/>
          <w:rFonts w:cs="Humanst521 Lt BT" w:ascii="Humanst521 Lt BT" w:hAnsi="Humanst521 Lt BT"/>
        </w:rPr>
        <w:instrText xml:space="preserve">ADVANCE \d 2"</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rPr>
          <w:rFonts w:cs="Humanst521 Lt BT" w:ascii="Humanst521 Lt BT" w:hAnsi="Humanst521 Lt BT"/>
          <w:spacing w:val="9"/>
          <w:sz w:val="16"/>
        </w:rPr>
        <w:t>ATTORNEYS AT LAW</w:t>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tbl>
      <w:tblPr>
        <w:tblW w:w="9540" w:type="dxa"/>
        <w:jc w:val="start"/>
        <w:tblInd w:w="18" w:type="dxa"/>
        <w:tblLayout w:type="fixed"/>
        <w:tblCellMar>
          <w:top w:w="0" w:type="dxa"/>
          <w:start w:w="108" w:type="dxa"/>
          <w:bottom w:w="0" w:type="dxa"/>
          <w:end w:w="108" w:type="dxa"/>
        </w:tblCellMar>
      </w:tblPr>
      <w:tblGrid>
        <w:gridCol w:w="3150"/>
        <w:gridCol w:w="3060"/>
        <w:gridCol w:w="3330"/>
      </w:tblGrid>
      <w:tr>
        <w:trPr/>
        <w:tc>
          <w:tcPr>
            <w:tcW w:w="315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bookmarkStart w:id="0" w:name="SenderPhone"/>
            <w:bookmarkStart w:id="1" w:name="SenderPhone"/>
            <w:bookmarkEnd w:id="1"/>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t>Writer's Phone: (202) 639-6511</w:t>
            </w:r>
            <w:bookmarkStart w:id="2" w:name="SenderFax"/>
            <w:bookmarkEnd w:id="2"/>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start"/>
              <w:rPr>
                <w:rFonts w:ascii="Humanst521 Lt BT" w:hAnsi="Humanst521 Lt BT" w:cs="Humanst521 Lt BT"/>
                <w:spacing w:val="19"/>
                <w:sz w:val="12"/>
              </w:rPr>
            </w:pPr>
            <w:r>
              <w:rPr>
                <w:rFonts w:cs="Humanst521 Lt BT" w:ascii="Humanst521 Lt BT" w:hAnsi="Humanst521 Lt BT"/>
                <w:spacing w:val="19"/>
                <w:sz w:val="12"/>
              </w:rPr>
            </w:r>
          </w:p>
        </w:tc>
        <w:tc>
          <w:tcPr>
            <w:tcW w:w="306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3" w:name="OffAdd1"/>
            <w:bookmarkEnd w:id="3"/>
            <w:r>
              <w:rPr>
                <w:rFonts w:cs="Humanst521 Lt BT" w:ascii="Humanst521 Lt BT" w:hAnsi="Humanst521 Lt BT"/>
                <w:spacing w:val="19"/>
                <w:sz w:val="12"/>
              </w:rPr>
              <w:t>THE WILLARD OFFICE BUILDING</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4" w:name="OffAdd2"/>
            <w:bookmarkEnd w:id="4"/>
            <w:r>
              <w:rPr>
                <w:rFonts w:cs="Humanst521 Lt BT" w:ascii="Humanst521 Lt BT" w:hAnsi="Humanst521 Lt BT"/>
                <w:spacing w:val="19"/>
                <w:sz w:val="12"/>
              </w:rPr>
              <w:t>1455 PENNSYLVANIA AVE., N.W.</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b/>
                <w:spacing w:val="19"/>
                <w:sz w:val="14"/>
              </w:rPr>
            </w:pPr>
            <w:bookmarkStart w:id="5" w:name="OffCity"/>
            <w:bookmarkStart w:id="6" w:name="OffAdd3"/>
            <w:bookmarkEnd w:id="5"/>
            <w:bookmarkEnd w:id="6"/>
            <w:r>
              <w:rPr>
                <w:rFonts w:cs="Humanst521 Lt BT" w:ascii="Humanst521 Lt BT" w:hAnsi="Humanst521 Lt BT"/>
                <w:b/>
                <w:spacing w:val="19"/>
                <w:sz w:val="14"/>
              </w:rPr>
              <w:t>WASHINGTON, D.C.  20004-1008</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7" w:name="OffPhone"/>
            <w:bookmarkEnd w:id="7"/>
            <w:r>
              <w:rPr>
                <w:rFonts w:cs="Humanst521 Lt BT" w:ascii="Humanst521 Lt BT" w:hAnsi="Humanst521 Lt BT"/>
                <w:spacing w:val="19"/>
                <w:sz w:val="12"/>
              </w:rPr>
              <w:t>TELEPHONE (202) 639-6500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8" w:name="OffFax"/>
            <w:bookmarkEnd w:id="8"/>
            <w:r>
              <w:rPr>
                <w:rFonts w:cs="Humanst521 Lt BT" w:ascii="Humanst521 Lt BT" w:hAnsi="Humanst521 Lt BT"/>
                <w:spacing w:val="19"/>
                <w:sz w:val="12"/>
              </w:rPr>
              <w:t>FAX (202) 639-6604</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tc>
        <w:tc>
          <w:tcPr>
            <w:tcW w:w="333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bookmarkStart w:id="9" w:name="SenderEmail"/>
            <w:bookmarkStart w:id="10" w:name="SenderEmail"/>
            <w:bookmarkEnd w:id="10"/>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t>E-Mail: emoler@velaw.com</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bookmarkStart w:id="11" w:name="VEWeb"/>
            <w:bookmarkEnd w:id="11"/>
            <w:r>
              <w:rPr>
                <w:rFonts w:cs="Humanst521 Lt BT" w:ascii="Humanst521 Lt BT" w:hAnsi="Humanst521 Lt BT"/>
                <w:spacing w:val="19"/>
                <w:sz w:val="12"/>
              </w:rPr>
              <w:t>Web: www.velaw.com </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tc>
      </w:tr>
    </w:tbl>
    <w:p>
      <w:pPr>
        <w:pStyle w:val="DocumentLabel"/>
        <w:jc w:val="center"/>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306705</wp:posOffset>
                </wp:positionV>
                <wp:extent cx="3200400" cy="0"/>
                <wp:effectExtent l="0" t="6350" r="0" b="6350"/>
                <wp:wrapNone/>
                <wp:docPr id="1" name=""/>
                <a:graphic xmlns:a="http://schemas.openxmlformats.org/drawingml/2006/main">
                  <a:graphicData uri="http://schemas.microsoft.com/office/word/2010/wordprocessingShape">
                    <wps:wsp>
                      <wps:cNvSpPr/>
                      <wps:spPr>
                        <a:xfrm>
                          <a:off x="0" y="0"/>
                          <a:ext cx="3200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4.15pt" to="352.75pt,24.15pt" stroked="t" o:allowincell="f" style="position:absolute">
                <v:stroke color="black" weight="12600" joinstyle="miter" endcap="flat"/>
                <v:fill o:detectmouseclick="t" on="false"/>
                <w10:wrap type="none"/>
              </v:line>
            </w:pict>
          </mc:Fallback>
        </mc:AlternateContent>
      </w:r>
      <w:r>
        <w:rPr>
          <w:sz w:val="28"/>
        </w:rPr>
        <w:t>Memorandum</w:t>
      </w:r>
    </w:p>
    <w:p>
      <w:pPr>
        <w:pStyle w:val="Normal"/>
        <w:tabs>
          <w:tab w:val="clear" w:pos="720"/>
          <w:tab w:val="center" w:pos="691" w:leader="none"/>
          <w:tab w:val="center" w:pos="8899" w:leader="none"/>
        </w:tabs>
        <w:spacing w:lineRule="atLeast" w:line="283"/>
        <w:jc w:val="center"/>
        <w:rPr/>
      </w:pPr>
      <w:bookmarkStart w:id="12" w:name="BodyDate"/>
      <w:bookmarkEnd w:id="12"/>
      <w:r>
        <w:rPr/>
        <w:t>January 2, 2000</w:t>
      </w:r>
    </w:p>
    <w:p>
      <w:pPr>
        <w:pStyle w:val="Normal"/>
        <w:ind w:end="-450"/>
        <w:rPr/>
      </w:pPr>
      <w:r>
        <w:rPr/>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1083"/>
        <w:gridCol w:w="8565"/>
      </w:tblGrid>
      <w:tr>
        <w:trPr/>
        <w:tc>
          <w:tcPr>
            <w:tcW w:w="1083" w:type="dxa"/>
            <w:tcBorders/>
          </w:tcPr>
          <w:p>
            <w:pPr>
              <w:pStyle w:val="BodyText"/>
              <w:rPr/>
            </w:pPr>
            <w:r>
              <w:rPr/>
              <w:t>TO:</w:t>
            </w:r>
          </w:p>
        </w:tc>
        <w:tc>
          <w:tcPr>
            <w:tcW w:w="8565" w:type="dxa"/>
            <w:tcBorders/>
          </w:tcPr>
          <w:p>
            <w:pPr>
              <w:pStyle w:val="BodyText"/>
              <w:ind w:firstLine="357" w:end="0"/>
              <w:rPr/>
            </w:pPr>
            <w:bookmarkStart w:id="13" w:name="MemoTo"/>
            <w:bookmarkEnd w:id="13"/>
            <w:r>
              <w:rPr/>
              <w:t>Steven J. Kean</w:t>
            </w:r>
          </w:p>
          <w:p>
            <w:pPr>
              <w:pStyle w:val="BodyText"/>
              <w:ind w:firstLine="357" w:end="0"/>
              <w:rPr/>
            </w:pPr>
            <w:r>
              <w:rPr/>
              <w:t>Cynthia Sandherr</w:t>
            </w:r>
          </w:p>
        </w:tc>
      </w:tr>
      <w:tr>
        <w:trPr/>
        <w:tc>
          <w:tcPr>
            <w:tcW w:w="1083" w:type="dxa"/>
            <w:tcBorders/>
          </w:tcPr>
          <w:p>
            <w:pPr>
              <w:pStyle w:val="BodyText"/>
              <w:snapToGrid w:val="false"/>
              <w:rPr/>
            </w:pPr>
            <w:r>
              <w:rPr/>
            </w:r>
          </w:p>
        </w:tc>
        <w:tc>
          <w:tcPr>
            <w:tcW w:w="8565" w:type="dxa"/>
            <w:tcBorders/>
          </w:tcPr>
          <w:p>
            <w:pPr>
              <w:pStyle w:val="BodyText"/>
              <w:snapToGrid w:val="false"/>
              <w:ind w:start="357" w:end="0"/>
              <w:rPr/>
            </w:pPr>
            <w:r>
              <w:rPr/>
            </w:r>
          </w:p>
        </w:tc>
      </w:tr>
      <w:tr>
        <w:trPr/>
        <w:tc>
          <w:tcPr>
            <w:tcW w:w="1083" w:type="dxa"/>
            <w:tcBorders/>
          </w:tcPr>
          <w:p>
            <w:pPr>
              <w:pStyle w:val="BodyText"/>
              <w:rPr/>
            </w:pPr>
            <w:r>
              <w:rPr/>
              <w:t>FROM:</w:t>
            </w:r>
          </w:p>
        </w:tc>
        <w:tc>
          <w:tcPr>
            <w:tcW w:w="8565" w:type="dxa"/>
            <w:tcBorders/>
          </w:tcPr>
          <w:p>
            <w:pPr>
              <w:pStyle w:val="BodyText"/>
              <w:ind w:start="357" w:end="0"/>
              <w:rPr/>
            </w:pPr>
            <w:bookmarkStart w:id="14" w:name="MemoFrom"/>
            <w:bookmarkEnd w:id="14"/>
            <w:r>
              <w:rPr/>
              <w:t>Elizabeth A. Moler</w:t>
            </w:r>
          </w:p>
        </w:tc>
      </w:tr>
    </w:tbl>
    <w:p>
      <w:pPr>
        <w:pStyle w:val="BodyText"/>
        <w:ind w:hanging="1440" w:start="1440" w:end="0"/>
        <w:rPr/>
      </w:pPr>
      <w:r>
        <w:rPr/>
      </w:r>
    </w:p>
    <w:p>
      <w:pPr>
        <w:pStyle w:val="BodyText"/>
        <w:ind w:hanging="1440" w:start="1440" w:end="0"/>
        <w:rPr/>
      </w:pPr>
      <w:r>
        <w:rPr/>
        <w:t>RE:</w:t>
        <w:tab/>
      </w:r>
      <w:bookmarkStart w:id="15" w:name="MemoRegarding"/>
      <w:bookmarkEnd w:id="15"/>
      <w:r>
        <w:rPr/>
        <w:t>Transmission Jurisdiction Amendment to H.R. 2944</w:t>
      </w:r>
    </w:p>
    <w:p>
      <w:pPr>
        <w:pStyle w:val="Header"/>
        <w:tabs>
          <w:tab w:val="clear" w:pos="4320"/>
          <w:tab w:val="clear" w:pos="8640"/>
        </w:tabs>
        <w:rPr/>
      </w:pPr>
      <w:r>
        <w:rPr/>
      </w:r>
    </w:p>
    <w:p>
      <w:pPr>
        <w:pStyle w:val="Normal"/>
        <w:jc w:val="start"/>
        <w:rPr/>
      </w:pPr>
      <w:r>
        <w:rPr/>
        <w:tab/>
      </w:r>
      <w:bookmarkStart w:id="16" w:name="Start"/>
      <w:bookmarkEnd w:id="16"/>
      <w:r>
        <w:rPr/>
        <w:t>This memorandum is written in response to your request for me to outline options for you to consider in developing Enron’s position on the transmission jurisdiction provisions of pending electricity restructuring legislation.  Cong. Barton has urged both NARUC and EEI to consider resolving their differences of opinion on the transmission jurisdiction issue. The differences of opinion over how to approach the transmission jurisdiction are widely acknowledged as a critical issue that must be resolved if the bill is to gain widespread support.  This memorandum provides background on the issue, as well as options for you to consider.</w:t>
      </w:r>
      <w:r>
        <w:rPr>
          <w:rStyle w:val="FootnoteCharacters"/>
          <w:rStyle w:val="FootnoteReference"/>
        </w:rPr>
        <w:footnoteReference w:id="2"/>
      </w:r>
    </w:p>
    <w:p>
      <w:pPr>
        <w:pStyle w:val="Normal"/>
        <w:jc w:val="start"/>
        <w:rPr/>
      </w:pPr>
      <w:r>
        <w:rPr/>
      </w:r>
    </w:p>
    <w:p>
      <w:pPr>
        <w:pStyle w:val="Header"/>
        <w:tabs>
          <w:tab w:val="clear" w:pos="4320"/>
          <w:tab w:val="clear" w:pos="8640"/>
        </w:tabs>
        <w:jc w:val="start"/>
        <w:rPr/>
      </w:pPr>
      <w:r>
        <w:rPr/>
      </w:r>
    </w:p>
    <w:p>
      <w:pPr>
        <w:pStyle w:val="Header"/>
        <w:tabs>
          <w:tab w:val="clear" w:pos="4320"/>
          <w:tab w:val="clear" w:pos="8640"/>
        </w:tabs>
        <w:jc w:val="start"/>
        <w:rPr>
          <w:u w:val="single"/>
        </w:rPr>
      </w:pPr>
      <w:r>
        <w:rPr>
          <w:u w:val="single"/>
        </w:rPr>
        <w:t>Background</w:t>
      </w:r>
    </w:p>
    <w:p>
      <w:pPr>
        <w:pStyle w:val="Header"/>
        <w:tabs>
          <w:tab w:val="clear" w:pos="4320"/>
          <w:tab w:val="clear" w:pos="8640"/>
        </w:tabs>
        <w:jc w:val="start"/>
        <w:rPr/>
      </w:pPr>
      <w:r>
        <w:rPr/>
      </w:r>
    </w:p>
    <w:p>
      <w:pPr>
        <w:pStyle w:val="Header"/>
        <w:tabs>
          <w:tab w:val="clear" w:pos="4320"/>
          <w:tab w:val="clear" w:pos="8640"/>
        </w:tabs>
        <w:jc w:val="start"/>
        <w:rPr/>
      </w:pPr>
      <w:r>
        <w:rPr/>
        <w:tab/>
        <w:t>Section 101 of H.R. 2944, as reported to the full Commerce Committee by the Energy and Power Subcommittee, would amend Sections 201(a) and (b)(1)the Federal Power Act to “clarify” federal and state jurisdiction over transmission.</w:t>
      </w:r>
      <w:r>
        <w:rPr>
          <w:rStyle w:val="FootnoteCharacters"/>
          <w:rStyle w:val="FootnoteReference"/>
        </w:rPr>
        <w:footnoteReference w:id="3"/>
      </w:r>
      <w:r>
        <w:rPr/>
        <w:t xml:space="preserve">  Under existing law, FERC has jurisdiction over “wholesale” transmission, but the scope of its authority over transmission facilities to serve retail customers is unclear.  H.R. 2944 would give FERC jurisdiction over “unbundled” transmission of electric energy sold at retail, and clearly reserve jurisdiction over “bundled” retail sales of electric energy to States.  The state jurisdiction would include the transmission component of bundled retail sales, as well as the local distribution service and retail sale components.  </w:t>
      </w:r>
    </w:p>
    <w:p>
      <w:pPr>
        <w:pStyle w:val="Header"/>
        <w:tabs>
          <w:tab w:val="clear" w:pos="4320"/>
          <w:tab w:val="clear" w:pos="8640"/>
        </w:tabs>
        <w:jc w:val="start"/>
        <w:rPr/>
      </w:pPr>
      <w:r>
        <w:rPr/>
      </w:r>
    </w:p>
    <w:p>
      <w:pPr>
        <w:pStyle w:val="Header"/>
        <w:tabs>
          <w:tab w:val="clear" w:pos="4320"/>
          <w:tab w:val="clear" w:pos="8640"/>
        </w:tabs>
        <w:ind w:firstLine="720" w:end="0"/>
        <w:jc w:val="start"/>
        <w:rPr/>
      </w:pPr>
      <w:r>
        <w:rPr/>
        <w:t xml:space="preserve">Section 102 amends Section 206 of the Federal Power Act and expands FERC’s jurisdiction to provide open access to both public utilities and to transmitting utilities that are not public utilities. Section 206(e)(2) authorizes FERC to issue rules requiring transmission access service by transmitting utilities that are not public utilities (other than TVA, BPA, and the PMAs) to provide transmission services at rates, and under terms, and conditions that are comparable to those required by public utilities.  Section 206(e)(2) provides FERC authority over the transmission systems of State and municipal utilities and rural electric cooperatives.  Title VI provides FERC authority over Federal transmission entities, including TVA, Bonneville, and the other power marketing administrations.  </w:t>
      </w:r>
    </w:p>
    <w:p>
      <w:pPr>
        <w:pStyle w:val="Header"/>
        <w:tabs>
          <w:tab w:val="clear" w:pos="4320"/>
          <w:tab w:val="clear" w:pos="8640"/>
        </w:tabs>
        <w:ind w:firstLine="720" w:end="0"/>
        <w:jc w:val="start"/>
        <w:rPr/>
      </w:pPr>
      <w:r>
        <w:rPr/>
      </w:r>
    </w:p>
    <w:p>
      <w:pPr>
        <w:pStyle w:val="Normal"/>
        <w:ind w:firstLine="720" w:end="0"/>
        <w:jc w:val="start"/>
        <w:rPr/>
      </w:pPr>
      <w:r>
        <w:rPr/>
        <w:t xml:space="preserve">The Committee contends that the combination of the above ensures open access “to the entire transmission system” thereby conveniently ignoring transmission facilities used by public utilities in states that have not unbundled.  </w:t>
      </w:r>
    </w:p>
    <w:p>
      <w:pPr>
        <w:pStyle w:val="Normal"/>
        <w:ind w:firstLine="720" w:end="0"/>
        <w:jc w:val="start"/>
        <w:rPr/>
      </w:pPr>
      <w:r>
        <w:rPr/>
      </w:r>
    </w:p>
    <w:p>
      <w:pPr>
        <w:pStyle w:val="Normal"/>
        <w:jc w:val="start"/>
        <w:rPr>
          <w:u w:val="single"/>
        </w:rPr>
      </w:pPr>
      <w:r>
        <w:rPr>
          <w:u w:val="single"/>
        </w:rPr>
        <w:t>AAE Amendment</w:t>
      </w:r>
    </w:p>
    <w:p>
      <w:pPr>
        <w:pStyle w:val="Normal"/>
        <w:jc w:val="start"/>
        <w:rPr>
          <w:u w:val="single"/>
        </w:rPr>
      </w:pPr>
      <w:r>
        <w:rPr>
          <w:u w:val="single"/>
        </w:rPr>
      </w:r>
    </w:p>
    <w:p>
      <w:pPr>
        <w:pStyle w:val="Normal"/>
        <w:jc w:val="start"/>
        <w:rPr/>
      </w:pPr>
      <w:r>
        <w:rPr/>
        <w:tab/>
        <w:t xml:space="preserve">During the Energy and Power Subcommittee’s hearing on H.R. 2944, on behalf of AAE, I advocated an amendment that would (1) give FERC authority over both “bundled” and “unbundled” transmission; (2) explicitly state that FERC does not have authority over sales of electric energy at retail, or to require open access over local distribution facilities, and (3) require FERC to issue a rule requiring all transmission to be under the same open access tariff, and to take service under the tariff,  and requiring utilities to separate transmission functions from their generation and sales functions. </w:t>
      </w:r>
    </w:p>
    <w:p>
      <w:pPr>
        <w:pStyle w:val="Normal"/>
        <w:jc w:val="start"/>
        <w:rPr/>
      </w:pPr>
      <w:r>
        <w:rPr/>
      </w:r>
    </w:p>
    <w:p>
      <w:pPr>
        <w:pStyle w:val="Normal"/>
        <w:jc w:val="start"/>
        <w:rPr/>
      </w:pPr>
      <w:r>
        <w:rPr/>
        <w:tab/>
        <w:t>The AAE Amendment</w:t>
      </w:r>
      <w:r>
        <w:rPr>
          <w:rStyle w:val="FootnoteCharacters"/>
          <w:rStyle w:val="FootnoteReference"/>
        </w:rPr>
        <w:footnoteReference w:id="4"/>
      </w:r>
      <w:r>
        <w:rPr/>
        <w:t xml:space="preserve"> was included in a larger package of amendments designed to address various market power issues that was offered, and later withdrawn without a vote, by Cong. Markey during the Subcommittee markup.  Cong. Markey has stated that he intends to pursue the market power issues when the full Commerce Committee marks up the legislation.  </w:t>
      </w:r>
    </w:p>
    <w:p>
      <w:pPr>
        <w:pStyle w:val="Normal"/>
        <w:jc w:val="start"/>
        <w:rPr/>
      </w:pPr>
      <w:r>
        <w:rPr/>
      </w:r>
    </w:p>
    <w:p>
      <w:pPr>
        <w:pStyle w:val="Normal"/>
        <w:jc w:val="start"/>
        <w:rPr>
          <w:u w:val="single"/>
        </w:rPr>
      </w:pPr>
      <w:r>
        <w:rPr>
          <w:u w:val="single"/>
        </w:rPr>
        <w:t>Positions of Key Players</w:t>
      </w:r>
    </w:p>
    <w:p>
      <w:pPr>
        <w:pStyle w:val="Normal"/>
        <w:jc w:val="start"/>
        <w:rPr>
          <w:u w:val="single"/>
        </w:rPr>
      </w:pPr>
      <w:r>
        <w:rPr>
          <w:u w:val="single"/>
        </w:rPr>
      </w:r>
    </w:p>
    <w:p>
      <w:pPr>
        <w:pStyle w:val="Normal"/>
        <w:jc w:val="start"/>
        <w:rPr/>
      </w:pPr>
      <w:r>
        <w:rPr/>
        <w:tab/>
      </w:r>
      <w:r>
        <w:rPr>
          <w:u w:val="single"/>
        </w:rPr>
        <w:t>House Commerce Committee Members</w:t>
      </w:r>
      <w:r>
        <w:rPr/>
        <w:t xml:space="preserve"> </w:t>
      </w:r>
    </w:p>
    <w:p>
      <w:pPr>
        <w:pStyle w:val="Normal"/>
        <w:jc w:val="start"/>
        <w:rPr>
          <w:u w:val="single"/>
        </w:rPr>
      </w:pPr>
      <w:r>
        <w:rPr>
          <w:u w:val="single"/>
        </w:rPr>
      </w:r>
    </w:p>
    <w:p>
      <w:pPr>
        <w:pStyle w:val="Normal"/>
        <w:jc w:val="start"/>
        <w:rPr/>
      </w:pPr>
      <w:r>
        <w:rPr/>
        <w:tab/>
        <w:t>The AAE amendment was not put to a vote during the Subcommittee markup.  If it had been, it clearly would have lost.  Most of the votes during the markup were along strictly partisan lines.  The Democratic Members were more sympathetic to “market power” concerns, with the Republican Members voting time after time for “states’ rights” amendments.  The AAE amendment would likely have been voted down because it would have been perceived as anti-states’ rights.</w:t>
      </w:r>
    </w:p>
    <w:p>
      <w:pPr>
        <w:pStyle w:val="Normal"/>
        <w:jc w:val="start"/>
        <w:rPr/>
      </w:pPr>
      <w:r>
        <w:rPr/>
      </w:r>
    </w:p>
    <w:p>
      <w:pPr>
        <w:pStyle w:val="Normal"/>
        <w:jc w:val="start"/>
        <w:rPr/>
      </w:pPr>
      <w:r>
        <w:rPr/>
        <w:tab/>
        <w:t xml:space="preserve">It is interesting to note that of the total full Commerce Committee Membership of 52 members, 33 Members are from states that have adopted open access (as of today), while only 19 are from closed states.  Thus, an amendment that would give FERC jurisdiction over both bundled and unbundled transmission, would directly affect only 19 members’ constituents.  However, thus far Members have not taken a position on the jurisdiction issue according to whether their states are open or closed; the debate has been more partisan and/or more states’ rights oriented.  </w:t>
      </w:r>
    </w:p>
    <w:p>
      <w:pPr>
        <w:pStyle w:val="Normal"/>
        <w:jc w:val="start"/>
        <w:rPr/>
      </w:pPr>
      <w:r>
        <w:rPr/>
      </w:r>
    </w:p>
    <w:p>
      <w:pPr>
        <w:pStyle w:val="Normal"/>
        <w:ind w:firstLine="720" w:end="0"/>
        <w:jc w:val="start"/>
        <w:rPr/>
      </w:pPr>
      <w:r>
        <w:rPr/>
        <w:t xml:space="preserve">Chairman Bliley has stated that the bill must address market power concerns, but he has not stated support for anything as specific as the AAE amendment.  Cong. Dingell, too, has stated that the bill must address market power concerns, but he has not tipped his hand on the amendment.  Cong. Markey would support it, as would Cong. Largent.  However, no one has made a specific commitment to offer the amendment during full Committee markup.  </w:t>
      </w:r>
    </w:p>
    <w:p>
      <w:pPr>
        <w:pStyle w:val="Normal"/>
        <w:ind w:firstLine="720" w:end="0"/>
        <w:jc w:val="start"/>
        <w:rPr/>
      </w:pPr>
      <w:r>
        <w:rPr/>
      </w:r>
    </w:p>
    <w:p>
      <w:pPr>
        <w:pStyle w:val="Normal"/>
        <w:ind w:firstLine="720" w:end="0"/>
        <w:jc w:val="start"/>
        <w:rPr>
          <w:u w:val="single"/>
        </w:rPr>
      </w:pPr>
      <w:r>
        <w:rPr>
          <w:u w:val="single"/>
        </w:rPr>
        <w:t>Senate Energy and Natural Resources Committee Members</w:t>
      </w:r>
    </w:p>
    <w:p>
      <w:pPr>
        <w:pStyle w:val="Normal"/>
        <w:ind w:firstLine="720" w:end="0"/>
        <w:jc w:val="start"/>
        <w:rPr/>
      </w:pPr>
      <w:r>
        <w:rPr/>
      </w:r>
    </w:p>
    <w:p>
      <w:pPr>
        <w:pStyle w:val="Normal"/>
        <w:ind w:firstLine="720" w:end="0"/>
        <w:jc w:val="start"/>
        <w:rPr/>
      </w:pPr>
      <w:r>
        <w:rPr/>
        <w:t xml:space="preserve">Sen. Murkowski’s bill would also give states jurisdiction over bundled transmission.  Because there has been so little activity on the Senate side, little is known for sure about the positions the other Energy and Natural Resources Committee members would be likely to take on the transmission jurisdiction issue.  </w:t>
      </w:r>
    </w:p>
    <w:p>
      <w:pPr>
        <w:pStyle w:val="Normal"/>
        <w:ind w:firstLine="720" w:end="0"/>
        <w:jc w:val="start"/>
        <w:rPr/>
      </w:pPr>
      <w:r>
        <w:rPr/>
      </w:r>
    </w:p>
    <w:p>
      <w:pPr>
        <w:pStyle w:val="Normal"/>
        <w:jc w:val="start"/>
        <w:rPr/>
      </w:pPr>
      <w:r>
        <w:rPr/>
        <w:tab/>
        <w:t xml:space="preserve">However, in marked contrast to the House Commerce Committee, 14 of the 20 Senators on the Committee are from </w:t>
      </w:r>
      <w:r>
        <w:rPr>
          <w:u w:val="single"/>
        </w:rPr>
        <w:t>closed</w:t>
      </w:r>
      <w:r>
        <w:rPr/>
        <w:t xml:space="preserve"> states.  Thus, whether they vote for the status quo from the point of view of their states, or from a states’ rights point of view, the overwhelming majority of the Committee can be expected to oppose the amendment in its present form.  </w:t>
      </w:r>
    </w:p>
    <w:p>
      <w:pPr>
        <w:pStyle w:val="Normal"/>
        <w:jc w:val="start"/>
        <w:rPr/>
      </w:pPr>
      <w:r>
        <w:rPr/>
      </w:r>
    </w:p>
    <w:p>
      <w:pPr>
        <w:pStyle w:val="Normal"/>
        <w:jc w:val="start"/>
        <w:rPr/>
      </w:pPr>
      <w:r>
        <w:rPr/>
        <w:tab/>
        <w:t>Thus, while the Energy and Power Subcommittee markup was bleak, the full Committee looks more promising.  However, the Senate Energy and Natural Resources Committee (which does not markup in Subcommittee) is likely to be decidedly unfriendly.</w:t>
      </w:r>
    </w:p>
    <w:p>
      <w:pPr>
        <w:pStyle w:val="Normal"/>
        <w:jc w:val="start"/>
        <w:rPr/>
      </w:pPr>
      <w:r>
        <w:rPr/>
      </w:r>
    </w:p>
    <w:p>
      <w:pPr>
        <w:pStyle w:val="Normal"/>
        <w:jc w:val="start"/>
        <w:rPr/>
      </w:pPr>
      <w:r>
        <w:rPr/>
        <w:tab/>
      </w:r>
      <w:r>
        <w:rPr>
          <w:u w:val="single"/>
        </w:rPr>
        <w:t>NARUC</w:t>
      </w:r>
    </w:p>
    <w:p>
      <w:pPr>
        <w:pStyle w:val="Normal"/>
        <w:jc w:val="start"/>
        <w:rPr/>
      </w:pPr>
      <w:r>
        <w:rPr/>
      </w:r>
    </w:p>
    <w:p>
      <w:pPr>
        <w:pStyle w:val="Normal"/>
        <w:ind w:firstLine="720" w:end="0"/>
        <w:jc w:val="start"/>
        <w:rPr/>
      </w:pPr>
      <w:r>
        <w:rPr/>
        <w:t>Cong. Barton attended the November NARUC meeting and publicly called upon the NARUC members to address the transmission jurisdiction amendment.  NARUC has not taken an “official” position on the issue, but will likely do so at their upcoming Winter Meeting in early March.  Regulators from “closed” states can be expected to support the Subcommittee-reported bill.  Those from “open” states are less predictable.  On a “gut check” basis they can be expected to side with “states’ rights” advocates and support the Subcommittee reported bill.  However, as more states unbundle, the regulators in unbundled states should be worried about the balkanization of transmission markets, but it hasn’t happened yet (at least publicly).</w:t>
      </w:r>
    </w:p>
    <w:p>
      <w:pPr>
        <w:pStyle w:val="Normal"/>
        <w:ind w:firstLine="720" w:end="0"/>
        <w:jc w:val="start"/>
        <w:rPr/>
      </w:pPr>
      <w:r>
        <w:rPr/>
      </w:r>
    </w:p>
    <w:p>
      <w:pPr>
        <w:pStyle w:val="Normal"/>
        <w:ind w:firstLine="720" w:end="0"/>
        <w:jc w:val="start"/>
        <w:rPr/>
      </w:pPr>
      <w:r>
        <w:rPr/>
        <w:t xml:space="preserve">At a November 18 meeting, Chuck Gray, Exec. Director and General Counsel of NARUC, told us that the states’ concerns are reliability, ability to provide services to native load customers, and rate jurisdiction (states are “worried about rate increases”) fearing that FERC would allow higher/different rates if the transmission were under Federal jurisdiction (even though States have historically allowed high rates of return than FERC).  Chuck thought that “eventually” States may be able to agree to FERC jurisdiction </w:t>
      </w:r>
      <w:r>
        <w:rPr>
          <w:u w:val="single"/>
        </w:rPr>
        <w:t>if</w:t>
      </w:r>
      <w:r>
        <w:rPr/>
        <w:t xml:space="preserve"> they are given a role in the process.</w:t>
      </w:r>
    </w:p>
    <w:p>
      <w:pPr>
        <w:pStyle w:val="Normal"/>
        <w:ind w:firstLine="720" w:end="0"/>
        <w:jc w:val="start"/>
        <w:rPr/>
      </w:pPr>
      <w:r>
        <w:rPr/>
      </w:r>
    </w:p>
    <w:p>
      <w:pPr>
        <w:pStyle w:val="Normal"/>
        <w:ind w:firstLine="720" w:end="0"/>
        <w:jc w:val="start"/>
        <w:rPr/>
      </w:pPr>
      <w:r>
        <w:rPr/>
        <w:t>Commissioner Craig Glazer of Ohio is circulating an options memo discussing several possible transmission jurisdiction models.</w:t>
      </w:r>
      <w:r>
        <w:rPr>
          <w:rStyle w:val="FootnoteCharacters"/>
          <w:rStyle w:val="FootnoteReference"/>
        </w:rPr>
        <w:footnoteReference w:id="5"/>
      </w:r>
      <w:r>
        <w:rPr/>
        <w:t xml:space="preserve">  His preference would be to adopt a “checklist” model, which appears in the Telecommunications Act.  (I am told that the provision is widely discredited as a workable model in the telecommunications field.)  As far as I can determine, the “checklist” approach has not gained widespread support in NARUC.  </w:t>
      </w:r>
    </w:p>
    <w:p>
      <w:pPr>
        <w:pStyle w:val="Normal"/>
        <w:ind w:firstLine="720" w:end="0"/>
        <w:jc w:val="start"/>
        <w:rPr/>
      </w:pPr>
      <w:r>
        <w:rPr/>
      </w:r>
    </w:p>
    <w:p>
      <w:pPr>
        <w:pStyle w:val="Normal"/>
        <w:ind w:firstLine="720" w:end="0"/>
        <w:jc w:val="start"/>
        <w:rPr>
          <w:u w:val="single"/>
        </w:rPr>
      </w:pPr>
      <w:r>
        <w:rPr>
          <w:u w:val="single"/>
        </w:rPr>
        <w:t>APPA/NRECA</w:t>
      </w:r>
    </w:p>
    <w:p>
      <w:pPr>
        <w:pStyle w:val="Normal"/>
        <w:ind w:firstLine="720" w:end="0"/>
        <w:jc w:val="start"/>
        <w:rPr/>
      </w:pPr>
      <w:r>
        <w:rPr/>
      </w:r>
    </w:p>
    <w:p>
      <w:pPr>
        <w:pStyle w:val="Normal"/>
        <w:ind w:firstLine="720" w:end="0"/>
        <w:jc w:val="start"/>
        <w:rPr/>
      </w:pPr>
      <w:r>
        <w:rPr/>
        <w:t xml:space="preserve">APPA and NRECA have historically supported strong FERC jurisdiction over transmission.  They were the key advocates of the authority given to FERC in the 1992 Energy Policy Act to order utilities to provide transmission on a case-by-case basis.  Their focus in the debate over electric restructuring this year has been on tax issues, and on promoting strong Regional Transmission Organization authority for FERC.  They have not taken a formal public position on the AAE Amendment, but are likely supporters.  As transmission dependent utilities, they should be strong advocates of FERC jurisdiction over all transmission, provided there is an escape route for “small” entities (as was  provided in the original AAE amendment).  </w:t>
      </w:r>
    </w:p>
    <w:p>
      <w:pPr>
        <w:pStyle w:val="Normal"/>
        <w:ind w:firstLine="720" w:end="0"/>
        <w:jc w:val="start"/>
        <w:rPr/>
      </w:pPr>
      <w:r>
        <w:rPr/>
      </w:r>
    </w:p>
    <w:p>
      <w:pPr>
        <w:pStyle w:val="Normal"/>
        <w:ind w:firstLine="720" w:end="0"/>
        <w:jc w:val="start"/>
        <w:rPr>
          <w:u w:val="single"/>
        </w:rPr>
      </w:pPr>
      <w:r>
        <w:rPr>
          <w:u w:val="single"/>
        </w:rPr>
        <w:t>EEI</w:t>
      </w:r>
    </w:p>
    <w:p>
      <w:pPr>
        <w:pStyle w:val="Normal"/>
        <w:ind w:firstLine="720" w:end="0"/>
        <w:jc w:val="start"/>
        <w:rPr>
          <w:u w:val="single"/>
        </w:rPr>
      </w:pPr>
      <w:r>
        <w:rPr>
          <w:u w:val="single"/>
        </w:rPr>
      </w:r>
    </w:p>
    <w:p>
      <w:pPr>
        <w:pStyle w:val="Normal"/>
        <w:ind w:firstLine="720" w:end="0"/>
        <w:jc w:val="start"/>
        <w:rPr/>
      </w:pPr>
      <w:r>
        <w:rPr/>
        <w:t xml:space="preserve">Interestingly, EEI has not taken a position on the transmission jurisdiction issue.  While certain EEI members who comprise the “ACE Coalition” (represented by Linda Stuntz and Randy Davis) are known to have drafted the original Barton bill jurisdictional provisions, EEI as a group has been silent.  Several ACE members are reportedly rethinking their position on the transmission jurisdiction issue.  I understand that several of the multi-state utility holding companies are also worried about the balkanization of transmission jurisdiction because they operate in numerous states.  </w:t>
      </w:r>
    </w:p>
    <w:p>
      <w:pPr>
        <w:pStyle w:val="Normal"/>
        <w:ind w:firstLine="720" w:end="0"/>
        <w:jc w:val="start"/>
        <w:rPr/>
      </w:pPr>
      <w:r>
        <w:rPr/>
      </w:r>
    </w:p>
    <w:p>
      <w:pPr>
        <w:pStyle w:val="Normal"/>
        <w:ind w:firstLine="720" w:end="0"/>
        <w:jc w:val="start"/>
        <w:rPr/>
      </w:pPr>
      <w:r>
        <w:rPr/>
        <w:t xml:space="preserve">David Owens, VP of EEI, is known to be sympathetic to a different approach to transmission than appears in the Subcommittee-reported bill.  The EEI Member Companies will clearly be concerned about their ability to continue to provide service to native load customers.  </w:t>
      </w:r>
    </w:p>
    <w:p>
      <w:pPr>
        <w:pStyle w:val="Normal"/>
        <w:ind w:firstLine="720" w:end="0"/>
        <w:jc w:val="start"/>
        <w:rPr/>
      </w:pPr>
      <w:r>
        <w:rPr/>
      </w:r>
    </w:p>
    <w:p>
      <w:pPr>
        <w:pStyle w:val="Normal"/>
        <w:ind w:firstLine="720" w:end="0"/>
        <w:jc w:val="start"/>
        <w:rPr>
          <w:u w:val="single"/>
        </w:rPr>
      </w:pPr>
      <w:r>
        <w:rPr>
          <w:u w:val="single"/>
        </w:rPr>
        <w:t>Other Interest Groups</w:t>
      </w:r>
    </w:p>
    <w:p>
      <w:pPr>
        <w:pStyle w:val="Normal"/>
        <w:ind w:firstLine="720" w:end="0"/>
        <w:jc w:val="start"/>
        <w:rPr/>
      </w:pPr>
      <w:r>
        <w:rPr/>
      </w:r>
    </w:p>
    <w:p>
      <w:pPr>
        <w:pStyle w:val="Normal"/>
        <w:ind w:firstLine="720" w:end="0"/>
        <w:jc w:val="start"/>
        <w:rPr/>
      </w:pPr>
      <w:r>
        <w:rPr/>
        <w:t xml:space="preserve">The AAE amendment is, of course, supported by the miscellaneous entities that are in AAE.  Significantly, it has support from ELCON and NAM who are in AAE.  It also has support from a loosely associated group of “public interest” groups (such as PIRG, NRDC, and others)  who have formed a coalition to address the market power issues.  However, it is not the public interest groups’ first priority.  </w:t>
      </w:r>
      <w:r>
        <w:br w:type="page"/>
      </w:r>
    </w:p>
    <w:p>
      <w:pPr>
        <w:pStyle w:val="Normal"/>
        <w:ind w:end="0"/>
        <w:jc w:val="start"/>
        <w:rPr>
          <w:u w:val="single"/>
        </w:rPr>
      </w:pPr>
      <w:r>
        <w:rPr>
          <w:u w:val="single"/>
        </w:rPr>
        <w:t>What Now, Doc?</w:t>
      </w:r>
    </w:p>
    <w:p>
      <w:pPr>
        <w:pStyle w:val="Normal"/>
        <w:jc w:val="start"/>
        <w:rPr>
          <w:u w:val="single"/>
        </w:rPr>
      </w:pPr>
      <w:r>
        <w:rPr>
          <w:u w:val="single"/>
        </w:rPr>
      </w:r>
    </w:p>
    <w:p>
      <w:pPr>
        <w:pStyle w:val="Normal"/>
        <w:jc w:val="start"/>
        <w:rPr/>
      </w:pPr>
      <w:r>
        <w:rPr/>
        <w:tab/>
        <w:t>I have pondered numerous options of how to proceed at some length.  In my judgment, realistic, timely options boil down to variations on the following themes:</w:t>
      </w:r>
    </w:p>
    <w:p>
      <w:pPr>
        <w:pStyle w:val="Normal"/>
        <w:jc w:val="start"/>
        <w:rPr>
          <w:u w:val="single"/>
        </w:rPr>
      </w:pPr>
      <w:r>
        <w:rPr>
          <w:u w:val="single"/>
        </w:rPr>
      </w:r>
    </w:p>
    <w:p>
      <w:pPr>
        <w:pStyle w:val="Normal"/>
        <w:jc w:val="start"/>
        <w:rPr>
          <w:u w:val="single"/>
        </w:rPr>
      </w:pPr>
      <w:r>
        <w:rPr>
          <w:u w:val="single"/>
        </w:rPr>
        <w:t>1.  Stand Pat</w:t>
      </w:r>
    </w:p>
    <w:p>
      <w:pPr>
        <w:pStyle w:val="Normal"/>
        <w:jc w:val="start"/>
        <w:rPr>
          <w:u w:val="single"/>
        </w:rPr>
      </w:pPr>
      <w:r>
        <w:rPr>
          <w:u w:val="single"/>
        </w:rPr>
      </w:r>
    </w:p>
    <w:p>
      <w:pPr>
        <w:pStyle w:val="Normal"/>
        <w:ind w:firstLine="360" w:end="0"/>
        <w:jc w:val="start"/>
        <w:rPr/>
      </w:pPr>
      <w:r>
        <w:rPr/>
        <w:t xml:space="preserve">Some observers believe it’s not likely that restructuring legislation is going to go anywhere next year.  So why should Enron compromise on a significant policy issue if we’re not in the home stretch?  </w:t>
      </w:r>
    </w:p>
    <w:p>
      <w:pPr>
        <w:pStyle w:val="Normal"/>
        <w:jc w:val="start"/>
        <w:rPr/>
      </w:pPr>
      <w:r>
        <w:rPr/>
      </w:r>
    </w:p>
    <w:p>
      <w:pPr>
        <w:pStyle w:val="Normal"/>
        <w:numPr>
          <w:ilvl w:val="0"/>
          <w:numId w:val="2"/>
        </w:numPr>
        <w:jc w:val="start"/>
        <w:rPr>
          <w:u w:val="single"/>
        </w:rPr>
      </w:pPr>
      <w:r>
        <w:rPr>
          <w:u w:val="single"/>
        </w:rPr>
        <w:t>Engage in Further Discussions Before Making a Move</w:t>
      </w:r>
    </w:p>
    <w:p>
      <w:pPr>
        <w:pStyle w:val="Normal"/>
        <w:jc w:val="start"/>
        <w:rPr>
          <w:u w:val="single"/>
        </w:rPr>
      </w:pPr>
      <w:r>
        <w:rPr>
          <w:u w:val="single"/>
        </w:rPr>
      </w:r>
    </w:p>
    <w:p>
      <w:pPr>
        <w:pStyle w:val="Normal"/>
        <w:ind w:firstLine="720" w:end="0"/>
        <w:jc w:val="start"/>
        <w:rPr/>
      </w:pPr>
      <w:r>
        <w:rPr/>
        <w:t xml:space="preserve">You could seek additional involvement from Ken Lay with “heavyweight” Republicans, such as Speaker Hastert, and  Majority Whip DeLay.  The conversation should request </w:t>
      </w:r>
      <w:r>
        <w:rPr>
          <w:u w:val="single"/>
        </w:rPr>
        <w:t>both</w:t>
      </w:r>
      <w:r>
        <w:rPr/>
        <w:t xml:space="preserve"> that the issue of electric restructuring be put on the GOP Agenda for 2000, and seek assistance on this particular issue.  The Leadership needs to know both that the electric restructuring shold be a high priority item, and that the transmission issue is critically important.  </w:t>
      </w:r>
    </w:p>
    <w:p>
      <w:pPr>
        <w:pStyle w:val="Normal"/>
        <w:ind w:start="720" w:end="0"/>
        <w:jc w:val="start"/>
        <w:rPr>
          <w:u w:val="single"/>
        </w:rPr>
      </w:pPr>
      <w:r>
        <w:rPr>
          <w:u w:val="single"/>
        </w:rPr>
      </w:r>
    </w:p>
    <w:p>
      <w:pPr>
        <w:pStyle w:val="Normal"/>
        <w:ind w:firstLine="720" w:end="0"/>
        <w:jc w:val="start"/>
        <w:rPr/>
      </w:pPr>
      <w:r>
        <w:rPr/>
        <w:t>As to the substance of the transmission jurisdiction issue, preliminary discussions with NARUC and EEI have provided a glimpse about their concerns.  However, they still have not focussed a great deal on the issue.  (Alternatively, they could be holding their cards close and indulging in a vow of silence, but that doesn’t seem likely.)  Either or both of you could engage in further discussions with the “key players” on a Member or staff level before making a move.  Any staff check list should include:</w:t>
      </w:r>
    </w:p>
    <w:p>
      <w:pPr>
        <w:pStyle w:val="Normal"/>
        <w:ind w:firstLine="720" w:end="0"/>
        <w:jc w:val="start"/>
        <w:rPr/>
      </w:pPr>
      <w:r>
        <w:rPr/>
      </w:r>
    </w:p>
    <w:p>
      <w:pPr>
        <w:pStyle w:val="Normal"/>
        <w:numPr>
          <w:ilvl w:val="0"/>
          <w:numId w:val="4"/>
        </w:numPr>
        <w:jc w:val="start"/>
        <w:rPr/>
      </w:pPr>
      <w:r>
        <w:rPr/>
        <w:t>J.D. Derderian, House Commerce Committee Chief of Staff (he hasn’t been engaged; he needs to be.  Bliley will undoubtedly consult with him and he needs to be “up to speed”)</w:t>
      </w:r>
    </w:p>
    <w:p>
      <w:pPr>
        <w:pStyle w:val="Normal"/>
        <w:numPr>
          <w:ilvl w:val="0"/>
          <w:numId w:val="4"/>
        </w:numPr>
        <w:jc w:val="start"/>
        <w:rPr/>
      </w:pPr>
      <w:r>
        <w:rPr/>
        <w:t>Curry Hagerty, House Commerce Committee Deputy Chief of Staff; and Cathy Van Way, Counsel (the “brain trust” but they haven’t shown their hand yet generally as far as Bliley is concerned; nor have they voiced specific positions on the transmission jurisdiction issue);</w:t>
      </w:r>
      <w:r>
        <w:rPr>
          <w:rStyle w:val="FootnoteCharacters"/>
          <w:rStyle w:val="FootnoteReference"/>
        </w:rPr>
        <w:footnoteReference w:id="6"/>
      </w:r>
    </w:p>
    <w:p>
      <w:pPr>
        <w:pStyle w:val="Normal"/>
        <w:numPr>
          <w:ilvl w:val="0"/>
          <w:numId w:val="4"/>
        </w:numPr>
        <w:jc w:val="start"/>
        <w:rPr/>
      </w:pPr>
      <w:r>
        <w:rPr/>
        <w:t xml:space="preserve">Sue Sheridan, Minority Counsel; </w:t>
      </w:r>
    </w:p>
    <w:p>
      <w:pPr>
        <w:pStyle w:val="Normal"/>
        <w:numPr>
          <w:ilvl w:val="0"/>
          <w:numId w:val="4"/>
        </w:numPr>
        <w:jc w:val="start"/>
        <w:rPr/>
      </w:pPr>
      <w:r>
        <w:rPr/>
        <w:t xml:space="preserve">Jeff Duncan, Counsel to Cong. Markey; </w:t>
      </w:r>
    </w:p>
    <w:p>
      <w:pPr>
        <w:pStyle w:val="Normal"/>
        <w:numPr>
          <w:ilvl w:val="0"/>
          <w:numId w:val="4"/>
        </w:numPr>
        <w:jc w:val="start"/>
        <w:rPr/>
      </w:pPr>
      <w:r>
        <w:rPr/>
        <w:t>Howard Useem, Prof. Staff, Senate Energy and Natural Resources Committee;</w:t>
      </w:r>
    </w:p>
    <w:p>
      <w:pPr>
        <w:pStyle w:val="Normal"/>
        <w:numPr>
          <w:ilvl w:val="0"/>
          <w:numId w:val="4"/>
        </w:numPr>
        <w:jc w:val="start"/>
        <w:rPr/>
      </w:pPr>
      <w:r>
        <w:rPr/>
        <w:t>Sam Fowler, Chief Counsel for the Minority, Senate Energy and Natural Resources Committee;</w:t>
      </w:r>
    </w:p>
    <w:p>
      <w:pPr>
        <w:pStyle w:val="Normal"/>
        <w:numPr>
          <w:ilvl w:val="0"/>
          <w:numId w:val="4"/>
        </w:numPr>
        <w:jc w:val="start"/>
        <w:rPr/>
      </w:pPr>
      <w:r>
        <w:rPr/>
        <w:t>Tom Kuhn and/or David Owens, EEI;</w:t>
      </w:r>
    </w:p>
    <w:p>
      <w:pPr>
        <w:pStyle w:val="Normal"/>
        <w:numPr>
          <w:ilvl w:val="0"/>
          <w:numId w:val="4"/>
        </w:numPr>
        <w:jc w:val="start"/>
        <w:rPr/>
      </w:pPr>
      <w:r>
        <w:rPr/>
        <w:t>Alan Richardson, APPA;</w:t>
      </w:r>
    </w:p>
    <w:p>
      <w:pPr>
        <w:pStyle w:val="Normal"/>
        <w:numPr>
          <w:ilvl w:val="0"/>
          <w:numId w:val="4"/>
        </w:numPr>
        <w:jc w:val="start"/>
        <w:rPr/>
      </w:pPr>
      <w:r>
        <w:rPr/>
        <w:t xml:space="preserve">Glenn English, NRECA; </w:t>
      </w:r>
    </w:p>
    <w:p>
      <w:pPr>
        <w:pStyle w:val="Normal"/>
        <w:numPr>
          <w:ilvl w:val="0"/>
          <w:numId w:val="4"/>
        </w:numPr>
        <w:jc w:val="start"/>
        <w:rPr>
          <w:u w:val="single"/>
        </w:rPr>
      </w:pPr>
      <w:r>
        <w:rPr/>
        <w:t xml:space="preserve">Chuck Gray, and Comm. Susan Clark, (Florida) Chair of the NARUC Electricity Committee. </w:t>
      </w:r>
    </w:p>
    <w:p>
      <w:pPr>
        <w:pStyle w:val="Normal"/>
        <w:jc w:val="start"/>
        <w:rPr>
          <w:u w:val="single"/>
        </w:rPr>
      </w:pPr>
      <w:r>
        <w:rPr>
          <w:u w:val="single"/>
        </w:rPr>
      </w:r>
    </w:p>
    <w:p>
      <w:pPr>
        <w:pStyle w:val="Normal"/>
        <w:jc w:val="start"/>
        <w:rPr>
          <w:u w:val="single"/>
        </w:rPr>
      </w:pPr>
      <w:r>
        <w:rPr>
          <w:u w:val="single"/>
        </w:rPr>
        <w:t>3.  Develop a “Consensus” Amendment</w:t>
      </w:r>
    </w:p>
    <w:p>
      <w:pPr>
        <w:pStyle w:val="Normal"/>
        <w:jc w:val="start"/>
        <w:rPr>
          <w:u w:val="single"/>
        </w:rPr>
      </w:pPr>
      <w:r>
        <w:rPr>
          <w:u w:val="single"/>
        </w:rPr>
      </w:r>
    </w:p>
    <w:p>
      <w:pPr>
        <w:pStyle w:val="Normal"/>
        <w:ind w:firstLine="720" w:end="0"/>
        <w:jc w:val="start"/>
        <w:rPr/>
      </w:pPr>
      <w:r>
        <w:rPr/>
        <w:t xml:space="preserve">It seems clear that at some point the amendment needs to be altered in order to gain additional support for it.  Two key issues have been identified that should be addressed in any attempt to develop a new “consensus” amendment.  They are native load issues and rate comparability.  </w:t>
      </w:r>
    </w:p>
    <w:p>
      <w:pPr>
        <w:pStyle w:val="Normal"/>
        <w:ind w:firstLine="720" w:end="0"/>
        <w:jc w:val="start"/>
        <w:rPr/>
      </w:pPr>
      <w:r>
        <w:rPr/>
      </w:r>
    </w:p>
    <w:p>
      <w:pPr>
        <w:pStyle w:val="Normal"/>
        <w:numPr>
          <w:ilvl w:val="0"/>
          <w:numId w:val="3"/>
        </w:numPr>
        <w:jc w:val="start"/>
        <w:rPr>
          <w:u w:val="single"/>
        </w:rPr>
      </w:pPr>
      <w:r>
        <w:rPr>
          <w:u w:val="single"/>
        </w:rPr>
        <w:t>Native Load</w:t>
      </w:r>
    </w:p>
    <w:p>
      <w:pPr>
        <w:pStyle w:val="Normal"/>
        <w:jc w:val="start"/>
        <w:rPr>
          <w:u w:val="single"/>
        </w:rPr>
      </w:pPr>
      <w:r>
        <w:rPr>
          <w:u w:val="single"/>
        </w:rPr>
      </w:r>
    </w:p>
    <w:p>
      <w:pPr>
        <w:pStyle w:val="Normal"/>
        <w:ind w:firstLine="720" w:end="0"/>
        <w:jc w:val="start"/>
        <w:rPr/>
      </w:pPr>
      <w:r>
        <w:rPr/>
        <w:t>With respect to native load, the preliminary conversations we have had with NARUC and EEI clearly focus on ensuring that utilities are guaranteed sufficient capacity to continue to serve their native load customers.</w:t>
      </w:r>
      <w:r>
        <w:rPr>
          <w:rStyle w:val="FootnoteCharacters"/>
          <w:rStyle w:val="FootnoteReference"/>
        </w:rPr>
        <w:footnoteReference w:id="7"/>
      </w:r>
      <w:r>
        <w:rPr/>
        <w:t xml:space="preserve"> A very early draft of the AAE amendment directed FERC to protect utilities’ ability to serve their native load customers.  The section was deleted at the time because it had not yet been clearly identified by various interest groups as a problem.  You could develop a strategy for a highly visible “concession” to the IOUs to “protect native load” perhaps through a dialogue with David Owens.  </w:t>
      </w:r>
    </w:p>
    <w:p>
      <w:pPr>
        <w:pStyle w:val="Normal"/>
        <w:ind w:firstLine="720" w:end="0"/>
        <w:jc w:val="start"/>
        <w:rPr/>
      </w:pPr>
      <w:r>
        <w:rPr/>
      </w:r>
    </w:p>
    <w:p>
      <w:pPr>
        <w:pStyle w:val="Normal"/>
        <w:ind w:firstLine="720" w:end="0"/>
        <w:jc w:val="start"/>
        <w:rPr/>
      </w:pPr>
      <w:r>
        <w:rPr/>
        <w:t>I would start the discussion with the following provision as an “add on” to the AAE amendment (the issues to be decided before the amendment is given wide circulation are in brackets):</w:t>
      </w:r>
    </w:p>
    <w:p>
      <w:pPr>
        <w:pStyle w:val="Normal"/>
        <w:ind w:firstLine="720" w:end="0"/>
        <w:jc w:val="start"/>
        <w:rPr/>
      </w:pPr>
      <w:r>
        <w:rPr/>
      </w:r>
    </w:p>
    <w:p>
      <w:pPr>
        <w:pStyle w:val="BlockText"/>
        <w:ind w:firstLine="540" w:start="720" w:end="-810"/>
        <w:rPr>
          <w:sz w:val="24"/>
        </w:rPr>
      </w:pPr>
      <w:r>
        <w:rPr>
          <w:sz w:val="24"/>
        </w:rPr>
        <w:t>“</w:t>
      </w:r>
      <w:r>
        <w:rPr>
          <w:sz w:val="24"/>
        </w:rPr>
        <w:t>(3)</w:t>
        <w:tab/>
        <w:t>PROTECTION OF CAPACITY TO SERVE NATIVE LOAD. -- The rule</w:t>
      </w:r>
    </w:p>
    <w:p>
      <w:pPr>
        <w:pStyle w:val="BlockText"/>
        <w:ind w:hanging="0" w:start="1320" w:end="-810"/>
        <w:rPr>
          <w:sz w:val="24"/>
        </w:rPr>
      </w:pPr>
      <w:r>
        <w:rPr>
          <w:sz w:val="24"/>
        </w:rPr>
        <w:t>required by this section shall ensure that each public utility has adequate transmission capacity to serve the electric energy needs of its existing {firm}{residential and small commercial} retail customers.  The capacity shall be in the form of firm transmission</w:t>
      </w:r>
    </w:p>
    <w:p>
      <w:pPr>
        <w:pStyle w:val="BlockText"/>
        <w:ind w:firstLine="540" w:start="720" w:end="-810"/>
        <w:rPr>
          <w:sz w:val="24"/>
        </w:rPr>
      </w:pPr>
      <w:r>
        <w:rPr>
          <w:sz w:val="24"/>
        </w:rPr>
        <w:t xml:space="preserve"> </w:t>
      </w:r>
      <w:r>
        <w:rPr>
          <w:sz w:val="24"/>
        </w:rPr>
        <w:t xml:space="preserve">rights, or financial rights equivalent to firm transmission rights.”  </w:t>
      </w:r>
    </w:p>
    <w:p>
      <w:pPr>
        <w:pStyle w:val="Normal"/>
        <w:ind w:firstLine="720" w:end="0"/>
        <w:jc w:val="start"/>
        <w:rPr>
          <w:sz w:val="24"/>
        </w:rPr>
      </w:pPr>
      <w:r>
        <w:rPr>
          <w:sz w:val="24"/>
        </w:rPr>
      </w:r>
    </w:p>
    <w:p>
      <w:pPr>
        <w:pStyle w:val="Normal"/>
        <w:numPr>
          <w:ilvl w:val="0"/>
          <w:numId w:val="3"/>
        </w:numPr>
        <w:jc w:val="start"/>
        <w:rPr/>
      </w:pPr>
      <w:r>
        <w:rPr>
          <w:u w:val="single"/>
        </w:rPr>
        <w:t>Rate Impacts of FERC Jurisdiction for Transmission Component of Bundled Sales</w:t>
      </w:r>
    </w:p>
    <w:p>
      <w:pPr>
        <w:pStyle w:val="Normal"/>
        <w:jc w:val="start"/>
        <w:rPr/>
      </w:pPr>
      <w:r>
        <w:rPr/>
      </w:r>
    </w:p>
    <w:p>
      <w:pPr>
        <w:pStyle w:val="Normal"/>
        <w:ind w:firstLine="720" w:end="0"/>
        <w:jc w:val="start"/>
        <w:rPr/>
      </w:pPr>
      <w:r>
        <w:rPr/>
        <w:t>Chuck Gray of NARUC has also identified states’ ability to establish rates as an important issue to address.  He asserts that state regulators are worried that their constituents would be negatively impacted by FERC ratemaking policy.</w:t>
      </w:r>
      <w:r>
        <w:rPr>
          <w:rStyle w:val="FootnoteCharacters"/>
          <w:rStyle w:val="FootnoteReference"/>
        </w:rPr>
        <w:footnoteReference w:id="8"/>
      </w:r>
      <w:r>
        <w:rPr/>
        <w:t xml:space="preserve">  The AAE amendment could be modified to require that the transmission component of rates for transmission in closed states be developed according to the pertinent state’s ratemaking practices.  FERC could be directed to “consult” or “pay deference” to state ratemaking practices in the case of transmission in a state that has not adopted customer choice at retail.  If FERC determines that changing the rate structure that is currently in effect would result in increased rates for bundled retail customers, it would be directed to develop different rates or a mitigation plan.  Either a consultative mechanism, or a “deference” mechanism, would be responsive to Chuck Gray’s statement that “eventually” the states may be able to agree to FERC jurisdiction if they have a role in the process  The amendment should also address Chuck Gray’s statement that state regulators are worried about rate increases due to FERC ratemaking practices.</w:t>
      </w:r>
      <w:r>
        <w:rPr>
          <w:rStyle w:val="FootnoteCharacters"/>
          <w:rStyle w:val="FootnoteReference"/>
        </w:rPr>
        <w:footnoteReference w:id="9"/>
      </w:r>
      <w:r>
        <w:rPr/>
        <w:t xml:space="preserve">  </w:t>
      </w:r>
    </w:p>
    <w:p>
      <w:pPr>
        <w:pStyle w:val="Normal"/>
        <w:ind w:firstLine="720" w:end="0"/>
        <w:jc w:val="start"/>
        <w:rPr/>
      </w:pPr>
      <w:r>
        <w:rPr/>
      </w:r>
    </w:p>
    <w:p>
      <w:pPr>
        <w:pStyle w:val="Normal"/>
        <w:ind w:firstLine="720" w:end="0"/>
        <w:jc w:val="start"/>
        <w:rPr/>
      </w:pPr>
      <w:r>
        <w:rPr/>
        <w:t>I would start the discussion with the following provision as an “add on” to the AAE amendment:</w:t>
      </w:r>
    </w:p>
    <w:p>
      <w:pPr>
        <w:pStyle w:val="Normal"/>
        <w:ind w:firstLine="720" w:end="0"/>
        <w:jc w:val="start"/>
        <w:rPr/>
      </w:pPr>
      <w:r>
        <w:rPr/>
      </w:r>
    </w:p>
    <w:p>
      <w:pPr>
        <w:pStyle w:val="BlockText"/>
        <w:ind w:firstLine="540" w:start="720" w:end="-810"/>
        <w:rPr>
          <w:sz w:val="24"/>
        </w:rPr>
      </w:pPr>
      <w:r>
        <w:rPr>
          <w:sz w:val="24"/>
        </w:rPr>
        <w:t>(4)</w:t>
        <w:tab/>
        <w:t xml:space="preserve">RATEMAKING STANDARDS FOR STATES WITH BUNDLED RETAIL SALES OF ELECTRIC ENERGY. -- In establishing rates for the transmission component  of bundled retail sales of electric energy, the Commission shall consult with the appropriate state ratemaking authority to determine the rate structure currently in effect for such facilities.  If the Commission determines that changing the rate structure that is currently in effect would result in increased rates for bundled retail customers, it shall establish rates or a mitigation plan for an appropriate transition period that will ensure that bundled retail customers are not adversely affected by the change in regulatory jurisdiction.  </w:t>
      </w:r>
    </w:p>
    <w:p>
      <w:pPr>
        <w:pStyle w:val="Normal"/>
        <w:ind w:firstLine="720" w:end="0"/>
        <w:jc w:val="start"/>
        <w:rPr>
          <w:sz w:val="24"/>
        </w:rPr>
      </w:pPr>
      <w:r>
        <w:rPr>
          <w:sz w:val="24"/>
        </w:rPr>
      </w:r>
    </w:p>
    <w:p>
      <w:pPr>
        <w:pStyle w:val="Normal"/>
        <w:jc w:val="start"/>
        <w:rPr>
          <w:u w:val="single"/>
        </w:rPr>
      </w:pPr>
      <w:r>
        <w:rPr>
          <w:u w:val="single"/>
        </w:rPr>
        <w:t>4.  Life is Too Short – Announce Opposition to the Legislation Because of the Transmission Provisions in the Subcommittee’s Bill</w:t>
      </w:r>
    </w:p>
    <w:p>
      <w:pPr>
        <w:pStyle w:val="Normal"/>
        <w:jc w:val="start"/>
        <w:rPr>
          <w:u w:val="single"/>
        </w:rPr>
      </w:pPr>
      <w:r>
        <w:rPr>
          <w:u w:val="single"/>
        </w:rPr>
      </w:r>
    </w:p>
    <w:p>
      <w:pPr>
        <w:pStyle w:val="Normal"/>
        <w:ind w:firstLine="720" w:end="0"/>
        <w:jc w:val="start"/>
        <w:rPr/>
      </w:pPr>
      <w:r>
        <w:rPr/>
        <w:t>Many observers doubt the legislation will go anywhere next year.  Congress is, after all, designed not to legislate, especially in a Presidential election year.  Enron could announce it is disgusted with the whole process and intends to oppose enactment of legislation, particularly because of the transmission jurisdiction sections.  (I have characterized the Subcommittee reported bill as the modern-day equivalent of the Articles of Confederation.)</w:t>
      </w:r>
    </w:p>
    <w:p>
      <w:pPr>
        <w:pStyle w:val="Normal"/>
        <w:ind w:firstLine="720" w:end="0"/>
        <w:jc w:val="start"/>
        <w:rPr/>
      </w:pPr>
      <w:r>
        <w:rPr/>
      </w:r>
    </w:p>
    <w:p>
      <w:pPr>
        <w:pStyle w:val="Normal"/>
        <w:ind w:firstLine="720" w:end="0"/>
        <w:jc w:val="start"/>
        <w:rPr/>
      </w:pPr>
      <w:r>
        <w:rPr/>
        <w:t xml:space="preserve">The clear danger with this strategy is that it leaves the field much more open to those who would be only too delighted to have Enron on the sidelines.  Heaven forbid that they would write a bill without someone to keep them honest – especially if there is a major power outage, or other unforeseen event, that galvanizes/goads/embarrasses the Congress to act.  </w:t>
      </w:r>
    </w:p>
    <w:p>
      <w:pPr>
        <w:pStyle w:val="Normal"/>
        <w:ind w:firstLine="720" w:end="0"/>
        <w:jc w:val="start"/>
        <w:rPr/>
      </w:pPr>
      <w:r>
        <w:rPr/>
      </w:r>
    </w:p>
    <w:p>
      <w:pPr>
        <w:pStyle w:val="Normal"/>
        <w:ind w:firstLine="720" w:end="0"/>
        <w:jc w:val="start"/>
        <w:rPr/>
      </w:pPr>
      <w:r>
        <w:rPr/>
        <w:t xml:space="preserve">I would be pleased to consult further with you about any of the above.  </w:t>
      </w:r>
    </w:p>
    <w:p>
      <w:pPr>
        <w:pStyle w:val="Normal"/>
        <w:ind w:firstLine="720" w:end="0"/>
        <w:jc w:val="start"/>
        <w:rPr/>
      </w:pPr>
      <w:r>
        <w:rPr/>
      </w:r>
      <w:r>
        <w:br w:type="page"/>
      </w:r>
    </w:p>
    <w:p>
      <w:pPr>
        <w:pStyle w:val="Normal"/>
        <w:ind w:firstLine="360" w:end="0"/>
        <w:jc w:val="center"/>
        <w:rPr>
          <w:b/>
        </w:rPr>
      </w:pPr>
      <w:r>
        <w:rPr>
          <w:b/>
        </w:rPr>
        <w:t>Attachment #1</w:t>
      </w:r>
    </w:p>
    <w:p>
      <w:pPr>
        <w:pStyle w:val="Header"/>
        <w:tabs>
          <w:tab w:val="clear" w:pos="4320"/>
          <w:tab w:val="clear" w:pos="8640"/>
        </w:tabs>
        <w:jc w:val="center"/>
        <w:rPr>
          <w:b/>
        </w:rPr>
      </w:pPr>
      <w:r>
        <w:rPr>
          <w:b/>
        </w:rPr>
        <w:t>Summary of Transmission Jurisdiction Sections of H.R. 2944</w:t>
      </w:r>
    </w:p>
    <w:p>
      <w:pPr>
        <w:pStyle w:val="Header"/>
        <w:tabs>
          <w:tab w:val="clear" w:pos="4320"/>
          <w:tab w:val="clear" w:pos="8640"/>
        </w:tabs>
        <w:jc w:val="center"/>
        <w:rPr>
          <w:b/>
        </w:rPr>
      </w:pPr>
      <w:r>
        <w:rPr>
          <w:b/>
        </w:rPr>
        <w:t>As Reported from the Energy and Power Subcommittee</w:t>
      </w:r>
      <w:r>
        <w:rPr>
          <w:rStyle w:val="FootnoteCharacters"/>
          <w:rStyle w:val="FootnoteReference"/>
          <w:b/>
        </w:rPr>
        <w:footnoteReference w:id="10"/>
      </w:r>
    </w:p>
    <w:p>
      <w:pPr>
        <w:pStyle w:val="Header"/>
        <w:tabs>
          <w:tab w:val="clear" w:pos="4320"/>
          <w:tab w:val="clear" w:pos="8640"/>
        </w:tabs>
        <w:jc w:val="center"/>
        <w:rPr>
          <w:b/>
        </w:rPr>
      </w:pPr>
      <w:r>
        <w:rPr>
          <w:b/>
        </w:rPr>
      </w:r>
    </w:p>
    <w:p>
      <w:pPr>
        <w:pStyle w:val="Header"/>
        <w:tabs>
          <w:tab w:val="clear" w:pos="4320"/>
          <w:tab w:val="clear" w:pos="8640"/>
        </w:tabs>
        <w:jc w:val="start"/>
        <w:rPr>
          <w:b/>
        </w:rPr>
      </w:pPr>
      <w:r>
        <w:rPr>
          <w:b/>
        </w:rPr>
      </w:r>
    </w:p>
    <w:p>
      <w:pPr>
        <w:pStyle w:val="Normal"/>
        <w:jc w:val="start"/>
        <w:rPr>
          <w:b/>
        </w:rPr>
      </w:pPr>
      <w:r>
        <w:rPr>
          <w:b/>
          <w:sz w:val="28"/>
        </w:rPr>
        <w:t>TITLE I -- OPEN TRANSMISSION ACCESS</w:t>
      </w:r>
    </w:p>
    <w:p>
      <w:pPr>
        <w:pStyle w:val="Normal"/>
        <w:jc w:val="start"/>
        <w:rPr>
          <w:b/>
        </w:rPr>
      </w:pPr>
      <w:r>
        <w:rPr>
          <w:b/>
        </w:rPr>
      </w:r>
    </w:p>
    <w:p>
      <w:pPr>
        <w:pStyle w:val="Normal"/>
        <w:ind w:hanging="720" w:start="720" w:end="0"/>
        <w:jc w:val="start"/>
        <w:rPr/>
      </w:pPr>
      <w:r>
        <w:rPr>
          <w:b/>
        </w:rPr>
        <w:t>Section 101.</w:t>
      </w:r>
      <w:r>
        <w:rPr/>
        <w:t xml:space="preserve">  </w:t>
      </w:r>
      <w:r>
        <w:rPr>
          <w:b/>
        </w:rPr>
        <w:t>Clarification of State Authority Regarding Retail Electric Competition; Clarification of Federal and State Jurisdiction.</w:t>
      </w:r>
    </w:p>
    <w:p>
      <w:pPr>
        <w:pStyle w:val="Normal"/>
        <w:jc w:val="start"/>
        <w:rPr/>
      </w:pPr>
      <w:r>
        <w:rPr/>
      </w:r>
    </w:p>
    <w:p>
      <w:pPr>
        <w:pStyle w:val="Normal"/>
        <w:jc w:val="start"/>
        <w:rPr/>
      </w:pPr>
      <w:r>
        <w:rPr/>
        <w:tab/>
        <w:t xml:space="preserve">Subsection (a) amends section 201(b) of the Federal Power Act to clarify State authority to require retail electric competition or unbundling of transmission and local distribution service.  Utilities in a number of States have challenged State authority to require retail electric competition, citing the Federal Power Act.  </w:t>
      </w:r>
    </w:p>
    <w:p>
      <w:pPr>
        <w:pStyle w:val="Normal"/>
        <w:jc w:val="start"/>
        <w:rPr/>
      </w:pPr>
      <w:r>
        <w:rPr/>
      </w:r>
    </w:p>
    <w:p>
      <w:pPr>
        <w:pStyle w:val="Normal"/>
        <w:jc w:val="start"/>
        <w:rPr/>
      </w:pPr>
      <w:r>
        <w:rPr/>
        <w:tab/>
        <w:t>Subsection (b) amends sections 201(a) and 201(b)(1) of the Federal Power Act to clarify Federal and State jurisdiction.  The purpose of the subsection is to clearly demarcate Federal and State jurisdiction.  The subsection provides for Federal jurisdiction over unbundled transmission of electric energy sold at retail, and State jurisdiction over bundled retail sales of electric energy and the local distribution service and retail sale components of unbundled retail sales.  Subsection (c) provides definitions of key terms used in subsection (b).</w:t>
      </w:r>
    </w:p>
    <w:p>
      <w:pPr>
        <w:pStyle w:val="Normal"/>
        <w:jc w:val="start"/>
        <w:rPr/>
      </w:pPr>
      <w:r>
        <w:rPr/>
      </w:r>
    </w:p>
    <w:p>
      <w:pPr>
        <w:pStyle w:val="Normal"/>
        <w:jc w:val="start"/>
        <w:rPr/>
      </w:pPr>
      <w:r>
        <w:rPr/>
        <w:tab/>
        <w:t>Subsection (d) amends section 201(b) of the Federal Power Act to clarify State authority to impose public purpose fees.  The purpose of this subsection is to avoid bypass of State public purpose fees.  Under current law, States have jurisdiction over local distribution facilities, but the Federal Energy Regulatory Commission (FERC) has jurisdiction over transmission facilities.  If large customers tied directly into the transmission grid, they could avoid State jurisdictional facilities.  The subsection provides that the Federal Power Act does not affect State authority to impose public purpose charges on the delivery of electric energy or as a condition for the purchase of electric energy, regardless of whether State jurisdictional facilities are used.  The subsection does not limit State public purpose programs.</w:t>
      </w:r>
    </w:p>
    <w:p>
      <w:pPr>
        <w:pStyle w:val="Normal"/>
        <w:jc w:val="start"/>
        <w:rPr/>
      </w:pPr>
      <w:r>
        <w:rPr/>
      </w:r>
    </w:p>
    <w:p>
      <w:pPr>
        <w:pStyle w:val="Normal"/>
        <w:jc w:val="start"/>
        <w:rPr/>
      </w:pPr>
      <w:r>
        <w:rPr/>
        <w:tab/>
        <w:t>Subsection (e) amends section 201 of the Federal Power Act to provide for determination of transmission facilities by FERC upon application based on certain factors.  FERC is directed to consider any position taken by appropriate State commissions in making such determinations.</w:t>
      </w:r>
    </w:p>
    <w:p>
      <w:pPr>
        <w:pStyle w:val="Normal"/>
        <w:jc w:val="start"/>
        <w:rPr/>
      </w:pPr>
      <w:r>
        <w:rPr/>
      </w:r>
    </w:p>
    <w:p>
      <w:pPr>
        <w:pStyle w:val="Normal"/>
        <w:jc w:val="start"/>
        <w:rPr/>
      </w:pPr>
      <w:r>
        <w:rPr/>
        <w:tab/>
        <w:t xml:space="preserve">Subsection (f) was added by the Wilson amendment during Subcommittee markup.  Paragraph (1) amends section 201 of the Federal Power Act to provide that nothing in the Act preempts application of State utility laws regarding retail sales of electric energy.  Paragraph (2) amends the definition of “sale of electric energy at wholesale” in the Federal Power Act to provide that nothing in section 201 grants FERC jurisdiction over sales of electric energy to Federal facilities priced pursuant to retail tariffs approved by State commissions on July 1, 1999. The need for paragraph (2) is unclear, since FERC has no authority under the Federal Power Act to regulate retail sales.  Paragraph (3) amends section 212(h) of the Federal Power Act to prohibit wheeling orders to Federal facilities that purchase electric energy in a manner inconsistent with State law.  Paragraph (4) amends the definition of “Federal power marketing agency” in the Federal Power Act to exclude Federal facilities that purchase electric energy.  The need for paragraph (4) is unclear, since the current definition is limited to agencies that sell electric energy.  </w:t>
      </w:r>
    </w:p>
    <w:p>
      <w:pPr>
        <w:pStyle w:val="Normal"/>
        <w:jc w:val="start"/>
        <w:rPr/>
      </w:pPr>
      <w:r>
        <w:rPr/>
      </w:r>
    </w:p>
    <w:p>
      <w:pPr>
        <w:pStyle w:val="Normal"/>
        <w:jc w:val="start"/>
        <w:rPr>
          <w:b/>
        </w:rPr>
      </w:pPr>
      <w:r>
        <w:rPr>
          <w:b/>
        </w:rPr>
        <w:t xml:space="preserve">Section 102.   Open Access for All Transmitting Utilities. </w:t>
      </w:r>
    </w:p>
    <w:p>
      <w:pPr>
        <w:pStyle w:val="Normal"/>
        <w:jc w:val="start"/>
        <w:rPr/>
      </w:pPr>
      <w:r>
        <w:rPr/>
      </w:r>
    </w:p>
    <w:p>
      <w:pPr>
        <w:pStyle w:val="Normal"/>
        <w:jc w:val="start"/>
        <w:rPr/>
      </w:pPr>
      <w:r>
        <w:rPr/>
        <w:tab/>
        <w:t xml:space="preserve">Subsection (a) adds a section 206(e) to the Federal Power Act that provides open access to the transmission systems operated by public utilities and transmitting utilities that are not public utilities.  Section 206(e)(1) authorizes FERC to issue rules requiring open access transmission service by public utilities on a not unduly discriminatory or preferential basis, such as Order 888.  Section 206(e)(1) also authorizes FERC to provide for wholesale stranded cost recovery.  Section 206(e)(2) authorizes FERC to issue rules requiring access transmission service by transmitting utilities that are not public utilities (other than Federal power marketing administrations, the Tennessee Valley Authority, and utilities subject to section 212(k)) to provide transmission services at rates that are comparable to those each transmitting utility charges itself and not unduly discriminatory or preferential, and on terms and conditions that are comparable to those required by public utilities.  Section 206(e)(2) provides FERC authority over the transmission systems of State and municipal utilities and rural electric cooperatives. Section 206(e)(2) also authorizes FERC to remand transmission rates for review and revision where necessary and provide for wholesale stranded cost recovery.  Section 206(e) and Title VI, which provides FERC authority over the Federal transmission systems, ensure open access to the entire transmission system.  </w:t>
      </w:r>
    </w:p>
    <w:p>
      <w:pPr>
        <w:pStyle w:val="Normal"/>
        <w:jc w:val="start"/>
        <w:rPr/>
      </w:pPr>
      <w:r>
        <w:rPr/>
      </w:r>
    </w:p>
    <w:p>
      <w:pPr>
        <w:pStyle w:val="Normal"/>
        <w:jc w:val="start"/>
        <w:rPr/>
      </w:pPr>
      <w:r>
        <w:rPr/>
        <w:tab/>
        <w:t>Section 206(e)(2) also directs FERC to exempt State and municipal transmitting utilities and rural electric cooperatives from the requirement to provide comparable transmission access that (1) are small electric utilities that do not own or operate transmission facilities that are part of the bulk power system, or (2) meet other criteria determined by FERC to be in the public interest.  FERC is directed to provide such exemptions based on self-certification by the transmitting utility.  FERC is authorized to revoke an exemption only upon complaint if it determines the transmitting utility does not satisfy the exemption criteria.  In determining whether transmission facilities are part of the bulk power system, FERC is directed to consider any position taken by the electric reliability organization or affiliated regional reliability entity in the region where the transmitting utility is located.  A “small electric utility” is defined as an electric utility that sells no more than 4 million megawatt-hours of electric energy per year. The purpose of this change is to exempt small transmission owners from FERC regulation of transmission rates, terms, and conditions.</w:t>
      </w:r>
    </w:p>
    <w:p>
      <w:pPr>
        <w:pStyle w:val="Normal"/>
        <w:jc w:val="start"/>
        <w:rPr/>
      </w:pPr>
      <w:r>
        <w:rPr/>
      </w:r>
      <w:r>
        <w:br w:type="page"/>
      </w:r>
    </w:p>
    <w:p>
      <w:pPr>
        <w:pStyle w:val="Normal"/>
        <w:jc w:val="center"/>
        <w:rPr>
          <w:b/>
        </w:rPr>
      </w:pPr>
      <w:r>
        <w:rPr>
          <w:b/>
        </w:rPr>
        <w:t>Attachment #2 – Glazer Memo on Transmission Jurisdiction</w:t>
      </w:r>
    </w:p>
    <w:p>
      <w:pPr>
        <w:pStyle w:val="Normal"/>
        <w:jc w:val="center"/>
        <w:rPr>
          <w:b/>
        </w:rPr>
      </w:pPr>
      <w:r>
        <w:rPr>
          <w:b/>
        </w:rPr>
      </w:r>
    </w:p>
    <w:p>
      <w:pPr>
        <w:pStyle w:val="Normal"/>
        <w:ind w:hanging="1440" w:start="1440" w:end="0"/>
        <w:rPr/>
      </w:pPr>
      <w:r>
        <w:rPr/>
        <w:t>RE:</w:t>
        <w:tab/>
      </w:r>
      <w:r>
        <w:rPr>
          <w:b/>
        </w:rPr>
        <w:t>POTENTIAL ALTERNATIVE SCENARIOS RE: FEDERAL/STATE JURISDICTION</w:t>
      </w:r>
    </w:p>
    <w:p>
      <w:pPr>
        <w:pStyle w:val="Normal"/>
        <w:ind w:hanging="1440" w:start="1440" w:end="0"/>
        <w:rPr>
          <w:b/>
        </w:rPr>
      </w:pPr>
      <w:r>
        <w:rPr>
          <w:b/>
        </w:rPr>
      </w:r>
    </w:p>
    <w:p>
      <w:pPr>
        <w:pStyle w:val="Normal"/>
        <w:numPr>
          <w:ilvl w:val="0"/>
          <w:numId w:val="0"/>
        </w:numPr>
        <w:ind w:hanging="1440" w:start="1440" w:end="0"/>
        <w:outlineLvl w:val="0"/>
        <w:rPr>
          <w:b/>
        </w:rPr>
      </w:pPr>
      <w:r>
        <w:rPr>
          <w:b/>
        </w:rPr>
        <w:t>FROM:</w:t>
        <w:tab/>
        <w:t>CRAIG GLAZER, COMMISSIONER, OHIO PUC</w:t>
      </w:r>
    </w:p>
    <w:p>
      <w:pPr>
        <w:pStyle w:val="Normal"/>
        <w:ind w:hanging="1440" w:start="1440" w:end="0"/>
        <w:rPr>
          <w:b/>
        </w:rPr>
      </w:pPr>
      <w:r>
        <w:rPr>
          <w:b/>
        </w:rPr>
      </w:r>
    </w:p>
    <w:p>
      <w:pPr>
        <w:pStyle w:val="Normal"/>
        <w:ind w:hanging="1440" w:start="1440" w:end="0"/>
        <w:rPr/>
      </w:pPr>
      <w:r>
        <w:rPr/>
        <w:t>DATE:</w:t>
        <w:tab/>
      </w:r>
      <w:r>
        <w:rPr>
          <w:b/>
        </w:rPr>
        <w:t>NOVEMBER 18, 1999</w:t>
      </w:r>
    </w:p>
    <w:p>
      <w:pPr>
        <w:pStyle w:val="Normal"/>
        <w:tabs>
          <w:tab w:val="clear" w:pos="720"/>
          <w:tab w:val="left" w:pos="8460" w:leader="none"/>
        </w:tabs>
        <w:rPr>
          <w:u w:val="single"/>
        </w:rPr>
      </w:pPr>
      <w:r>
        <w:rPr>
          <w:u w:val="single"/>
        </w:rPr>
        <w:tab/>
      </w:r>
    </w:p>
    <w:p>
      <w:pPr>
        <w:pStyle w:val="BodyTextIndent"/>
        <w:rPr>
          <w:sz w:val="24"/>
          <w:u w:val="single"/>
        </w:rPr>
      </w:pPr>
      <w:r>
        <w:rPr>
          <w:sz w:val="24"/>
          <w:u w:val="single"/>
        </w:rPr>
      </w:r>
    </w:p>
    <w:p>
      <w:pPr>
        <w:pStyle w:val="BodyTextIndent"/>
        <w:tabs>
          <w:tab w:val="left" w:pos="720" w:leader="none"/>
        </w:tabs>
        <w:ind w:hanging="0" w:start="0" w:end="0"/>
        <w:rPr>
          <w:sz w:val="24"/>
        </w:rPr>
      </w:pPr>
      <w:r>
        <w:rPr>
          <w:sz w:val="24"/>
        </w:rPr>
        <w:tab/>
        <w:t>This will serve as a first rough draft memo of potential alternatives for consideration on the issue of federal/state jurisdiction as it relates to transmission.  The goal of this memo is simply to memorialize a list of potential federal/state jurisdictional models without undertaking, at this early stage of the dialogue, a detailed look at the pros and cons of each.</w:t>
      </w:r>
    </w:p>
    <w:p>
      <w:pPr>
        <w:pStyle w:val="Normal"/>
        <w:ind w:hanging="1440" w:start="1440" w:end="0"/>
        <w:rPr>
          <w:sz w:val="24"/>
        </w:rPr>
      </w:pPr>
      <w:r>
        <w:rPr>
          <w:sz w:val="24"/>
        </w:rPr>
      </w:r>
    </w:p>
    <w:p>
      <w:pPr>
        <w:pStyle w:val="Normal"/>
        <w:numPr>
          <w:ilvl w:val="0"/>
          <w:numId w:val="0"/>
        </w:numPr>
        <w:ind w:hanging="1440" w:start="1440" w:end="0"/>
        <w:outlineLvl w:val="0"/>
        <w:rPr>
          <w:b/>
        </w:rPr>
      </w:pPr>
      <w:r>
        <w:rPr>
          <w:b/>
        </w:rPr>
        <w:t>THE PROBLEM</w:t>
      </w:r>
    </w:p>
    <w:p>
      <w:pPr>
        <w:pStyle w:val="Normal"/>
        <w:ind w:hanging="1440" w:start="1440" w:end="0"/>
        <w:rPr>
          <w:b/>
        </w:rPr>
      </w:pPr>
      <w:r>
        <w:rPr>
          <w:b/>
        </w:rPr>
      </w:r>
    </w:p>
    <w:p>
      <w:pPr>
        <w:pStyle w:val="BlockText"/>
        <w:ind w:hanging="0" w:start="0" w:end="-810"/>
        <w:rPr>
          <w:sz w:val="24"/>
        </w:rPr>
      </w:pPr>
      <w:r>
        <w:rPr>
          <w:sz w:val="24"/>
        </w:rPr>
        <w:tab/>
        <w:t xml:space="preserve">The lines between federal and state authority remain unclear leading to the potential for forum shopping and inconsistent application of transmission policy.  Various public policy arguments have been made to centralize all transmission policy at the FERC, while others have argued to maintain the dual federal/state role reserving more authority to the states.  In the states’ favor, it has been argued that the provision of retail electric service has traditionally been subject to state laws and policies.  States have specific legal requirements relative to the protection of native load customers and quality of service and are uniquely qualified to address local retail complaints and issues.  Moreover, transmission investment is presently housed in state retail rate base and the ability of the utility to charge FERC rates is constrained by the retail ratesetting process and the existence of rate caps, rate freezes or rate reductions in many of the states passing restructuring legislation.  On the other hand, it is argued that allowing states to retain jurisdiction over transmission, either bundled or unbundled, will lead to a balkanized transmission network which will impinge the free flow of power across the nation. </w:t>
      </w:r>
    </w:p>
    <w:p>
      <w:pPr>
        <w:pStyle w:val="BlockText"/>
        <w:rPr>
          <w:sz w:val="24"/>
        </w:rPr>
      </w:pPr>
      <w:r>
        <w:rPr>
          <w:sz w:val="24"/>
        </w:rPr>
      </w:r>
    </w:p>
    <w:p>
      <w:pPr>
        <w:pStyle w:val="BlockText"/>
        <w:tabs>
          <w:tab w:val="left" w:pos="720" w:leader="none"/>
        </w:tabs>
        <w:ind w:hanging="0" w:start="0" w:end="-810"/>
        <w:rPr/>
      </w:pPr>
      <w:r>
        <w:rPr>
          <w:sz w:val="24"/>
        </w:rPr>
        <w:tab/>
        <w:t xml:space="preserve">This area needs to be resolved in federal legislation as the current Court holding in </w:t>
      </w:r>
      <w:r>
        <w:rPr>
          <w:i/>
          <w:sz w:val="24"/>
        </w:rPr>
        <w:t>Northern States Power vs. FERC</w:t>
      </w:r>
      <w:r>
        <w:rPr>
          <w:sz w:val="24"/>
        </w:rPr>
        <w:t xml:space="preserve"> interprets the Federal Power Act in a manner markedly different than FERCs interpretation of same in Order 888. </w:t>
      </w:r>
    </w:p>
    <w:p>
      <w:pPr>
        <w:pStyle w:val="BlockText"/>
        <w:tabs>
          <w:tab w:val="left" w:pos="720" w:leader="none"/>
        </w:tabs>
        <w:ind w:hanging="0" w:start="0" w:end="-810"/>
        <w:rPr>
          <w:sz w:val="24"/>
        </w:rPr>
      </w:pPr>
      <w:r>
        <w:rPr>
          <w:sz w:val="24"/>
        </w:rPr>
      </w:r>
    </w:p>
    <w:p>
      <w:pPr>
        <w:pStyle w:val="BlockText"/>
        <w:numPr>
          <w:ilvl w:val="0"/>
          <w:numId w:val="0"/>
        </w:numPr>
        <w:ind w:hanging="0" w:start="0" w:end="-810"/>
        <w:outlineLvl w:val="0"/>
        <w:rPr>
          <w:b/>
          <w:sz w:val="24"/>
        </w:rPr>
      </w:pPr>
      <w:r>
        <w:rPr>
          <w:b/>
          <w:sz w:val="24"/>
        </w:rPr>
        <w:t>POTENTIAL SOLUTIONS</w:t>
      </w:r>
    </w:p>
    <w:p>
      <w:pPr>
        <w:pStyle w:val="BlockText"/>
        <w:rPr>
          <w:b/>
          <w:sz w:val="24"/>
        </w:rPr>
      </w:pPr>
      <w:r>
        <w:rPr>
          <w:b/>
          <w:sz w:val="24"/>
        </w:rPr>
      </w:r>
    </w:p>
    <w:p>
      <w:pPr>
        <w:pStyle w:val="BlockText"/>
        <w:tabs>
          <w:tab w:val="left" w:pos="720" w:leader="none"/>
        </w:tabs>
        <w:ind w:hanging="0" w:start="0" w:end="-810"/>
        <w:rPr>
          <w:sz w:val="24"/>
        </w:rPr>
      </w:pPr>
      <w:r>
        <w:rPr>
          <w:sz w:val="24"/>
        </w:rPr>
        <w:tab/>
        <w:t>There are a number of alternative models which can be considered to harmonize state and federal actions and jurisdiction.  However, one must agree on the overarching goal----to ensure a seamless transmission network which provides for a free flow of power across state lines while accommodating legitimate state and local interests in reliability, quality of service, prices paid by retail consumers and siting issues.  Assuming one accepts this goal, there are several alternatives that could be considered:</w:t>
      </w:r>
    </w:p>
    <w:p>
      <w:pPr>
        <w:pStyle w:val="BlockText"/>
        <w:tabs>
          <w:tab w:val="left" w:pos="720" w:leader="none"/>
        </w:tabs>
        <w:ind w:hanging="0" w:start="0" w:end="-810"/>
        <w:rPr>
          <w:sz w:val="24"/>
        </w:rPr>
      </w:pPr>
      <w:r>
        <w:rPr>
          <w:sz w:val="24"/>
        </w:rPr>
      </w:r>
    </w:p>
    <w:p>
      <w:pPr>
        <w:pStyle w:val="BlockText"/>
        <w:tabs>
          <w:tab w:val="left" w:pos="720" w:leader="none"/>
        </w:tabs>
        <w:ind w:hanging="0" w:start="0" w:end="-810"/>
        <w:rPr>
          <w:sz w:val="24"/>
        </w:rPr>
      </w:pPr>
      <w:r>
        <w:rPr>
          <w:sz w:val="24"/>
        </w:rPr>
      </w:r>
    </w:p>
    <w:p>
      <w:pPr>
        <w:pStyle w:val="BlockText"/>
        <w:tabs>
          <w:tab w:val="left" w:pos="720" w:leader="none"/>
        </w:tabs>
        <w:ind w:hanging="0" w:start="0" w:end="-810"/>
        <w:rPr>
          <w:sz w:val="24"/>
        </w:rPr>
      </w:pPr>
      <w:r>
        <w:rPr>
          <w:sz w:val="24"/>
        </w:rPr>
      </w:r>
    </w:p>
    <w:p>
      <w:pPr>
        <w:pStyle w:val="BlockText"/>
        <w:tabs>
          <w:tab w:val="left" w:pos="720" w:leader="none"/>
        </w:tabs>
        <w:ind w:hanging="0" w:start="0" w:end="-810"/>
        <w:rPr>
          <w:sz w:val="24"/>
        </w:rPr>
      </w:pPr>
      <w:r>
        <w:rPr>
          <w:sz w:val="24"/>
        </w:rPr>
      </w:r>
    </w:p>
    <w:p>
      <w:pPr>
        <w:pStyle w:val="BlockText"/>
        <w:tabs>
          <w:tab w:val="left" w:pos="720" w:leader="none"/>
        </w:tabs>
        <w:ind w:hanging="0" w:start="0" w:end="-810"/>
        <w:rPr>
          <w:sz w:val="24"/>
        </w:rPr>
      </w:pPr>
      <w:r>
        <w:rPr>
          <w:sz w:val="24"/>
        </w:rPr>
      </w:r>
    </w:p>
    <w:p>
      <w:pPr>
        <w:pStyle w:val="BlockText"/>
        <w:numPr>
          <w:ilvl w:val="0"/>
          <w:numId w:val="0"/>
        </w:numPr>
        <w:tabs>
          <w:tab w:val="left" w:pos="720" w:leader="none"/>
        </w:tabs>
        <w:ind w:hanging="0" w:start="0" w:end="-810"/>
        <w:outlineLvl w:val="0"/>
        <w:rPr>
          <w:b/>
          <w:sz w:val="24"/>
        </w:rPr>
      </w:pPr>
      <w:r>
        <w:rPr>
          <w:b/>
          <w:sz w:val="24"/>
        </w:rPr>
        <w:t>OPTION ONE:</w:t>
      </w:r>
    </w:p>
    <w:p>
      <w:pPr>
        <w:pStyle w:val="BlockText"/>
        <w:tabs>
          <w:tab w:val="left" w:pos="720" w:leader="none"/>
        </w:tabs>
        <w:ind w:hanging="0" w:start="0" w:end="-810"/>
        <w:rPr>
          <w:b/>
          <w:sz w:val="24"/>
        </w:rPr>
      </w:pPr>
      <w:r>
        <w:rPr>
          <w:b/>
          <w:sz w:val="24"/>
        </w:rPr>
      </w:r>
    </w:p>
    <w:p>
      <w:pPr>
        <w:pStyle w:val="BlockText"/>
        <w:tabs>
          <w:tab w:val="left" w:pos="720" w:leader="none"/>
        </w:tabs>
        <w:ind w:hanging="0" w:start="720" w:end="-810"/>
        <w:rPr/>
      </w:pPr>
      <w:r>
        <w:rPr>
          <w:b/>
          <w:sz w:val="24"/>
        </w:rPr>
        <w:t>The Federal Backstop Model</w:t>
      </w:r>
      <w:r>
        <w:rPr>
          <w:sz w:val="24"/>
        </w:rPr>
        <w:t xml:space="preserve">: In FERC Order 888, FERC took exclusive jurisdiction over unbundled retail transmission service carving a distinction between it and bundled retail service.  Essentially, FERC took direct jurisdiction over retail customers, a proposition which caused the court in the </w:t>
      </w:r>
      <w:r>
        <w:rPr>
          <w:i/>
          <w:sz w:val="24"/>
        </w:rPr>
        <w:t>Northern States Power</w:t>
      </w:r>
      <w:r>
        <w:rPr>
          <w:sz w:val="24"/>
        </w:rPr>
        <w:t xml:space="preserve"> case to observe that FERC was achieving indirectly (the regulation of retail service) that which it cannot accomplish directly under the Federal Power Act.  The </w:t>
      </w:r>
      <w:r>
        <w:rPr>
          <w:i/>
          <w:sz w:val="24"/>
        </w:rPr>
        <w:t>Northern States</w:t>
      </w:r>
      <w:r>
        <w:rPr>
          <w:sz w:val="24"/>
        </w:rPr>
        <w:t xml:space="preserve"> case illustrates the dilemma that the present jurisdictional model under Order 888 creates for utilities and customers alike.  A utility can find itself with conflicting obligations under state laws and state tariffs relative to curtailment vs. those required by federal law.  On the other hand, the FERC was clearly attempting to carry-through the provisions of the Federal Power Act to avoid discrimination.  Clearly, if native load customers received a pricing preference, this would erode efforts toward open access.  Additionally, if FERC exercises jurisdiction over unbundled retail transmission, then it has jurisdiction over all aspects of the service---individual customers with disputes will have to go to the FERC to resolve issues ranging from billing complaints to inadequate service.  In Order 888, the FERC did indicate, in an unexplained phrase, that the states retain jurisdiction over the “service” of providing electricity to retail customers, presumably whether bundled or unbundled.  Moreover, FERC regulation of unbundled retail rates ignores the fact that a) the investment is already in retail rate base, and b) retail prices have generally been capped for extended periods of time for both bundled and unbundled customers in states that have restructured leading to a seemingly contradictory state cap affecting a federal rate. </w:t>
      </w:r>
    </w:p>
    <w:p>
      <w:pPr>
        <w:pStyle w:val="BlockText"/>
        <w:ind w:hanging="540" w:end="-810"/>
        <w:rPr>
          <w:sz w:val="24"/>
        </w:rPr>
      </w:pPr>
      <w:r>
        <w:rPr>
          <w:sz w:val="24"/>
        </w:rPr>
      </w:r>
    </w:p>
    <w:p>
      <w:pPr>
        <w:pStyle w:val="BlockText"/>
        <w:tabs>
          <w:tab w:val="clear" w:pos="720"/>
          <w:tab w:val="left" w:pos="1440" w:leader="none"/>
        </w:tabs>
        <w:ind w:hanging="0" w:start="720" w:end="-810"/>
        <w:rPr>
          <w:sz w:val="24"/>
        </w:rPr>
      </w:pPr>
      <w:r>
        <w:rPr>
          <w:sz w:val="24"/>
        </w:rPr>
        <w:tab/>
        <w:t>This proposed jurisdictional alternative goes to the heart of the FERCs exercise of exclusive authority over retail unbundled transmission service.  Rather than having the FERC exercise primary and exclusive jurisdiction over this area, the FERC would instead maintain “appellate-type” authority under the authority of the Federal Power Act and the interstate commerce clause of the U.S. Constitution.  States would be free to set the rates, terms and conditions over retail transmission service.  The rates would be set applying the FERC pricing policies to retail customers to ensure a proper cost allocation and cost-based rate while avoiding discrimination between wholesalers and suppliers to retail customers. The FERC would only step in if, upon complaint, it found that the state’s action was having an adverse impact on another state’s market and then would only be able to invalidate the state action if there were no means to harmonize the state action with the goals of federal legislation embracing open, nondiscriminatory access.  By the same token, under this model, a state could go further than the FERC, such as mandating RTO participation, so long as such state action is consistent with the goals of the legislation.  In short, the FERC would be exercising appellate-type jurisdiction rather than primary jurisdiction over the transmission portion of retail services.  Moreover, in order to promote regional solutions, the FERC would be required to statutorily provide deference to a regional solution developed among the several states.  This would help to promote the states “working it out” and providing disincentives to an errant state ignoring the wishes of the region.</w:t>
      </w:r>
    </w:p>
    <w:p>
      <w:pPr>
        <w:pStyle w:val="BlockText"/>
        <w:ind w:hanging="540" w:start="1980" w:end="-810"/>
        <w:rPr>
          <w:sz w:val="24"/>
        </w:rPr>
      </w:pPr>
      <w:r>
        <w:rPr>
          <w:sz w:val="24"/>
        </w:rPr>
      </w:r>
    </w:p>
    <w:p>
      <w:pPr>
        <w:pStyle w:val="BlockText"/>
        <w:ind w:hanging="0" w:start="720" w:end="-810"/>
        <w:rPr/>
      </w:pPr>
      <w:r>
        <w:rPr>
          <w:b/>
          <w:sz w:val="24"/>
        </w:rPr>
        <w:t>Example</w:t>
      </w:r>
      <w:r>
        <w:rPr>
          <w:sz w:val="24"/>
        </w:rPr>
        <w:t>: Under this approach, State A could require participation in an RTO as a condition of its retail competition program, even if the FERC only adopted a federal voluntary approach under Section 202(a) of the Federal Power Act.  A state would be free to develop enhanced reliability criteria (such as to ensure a higher level of transmission redundancy and reliability to special energy sectors such as the New York financial markets).  State A would set transmission rates applying the FERC formula rate to retail customers and would impose those rates on both bundled and unbundled customers except where such action a) leads to a significant rate change for bundled rates or b) exceeds a price cap imposed under state restructuring laws.  Where such situations occur, the state rates would be reduced subject to FERC comparability to avoid discriminatory impacts.</w:t>
      </w:r>
    </w:p>
    <w:p>
      <w:pPr>
        <w:pStyle w:val="BlockText"/>
        <w:ind w:hanging="540" w:start="1980" w:end="-810"/>
        <w:rPr>
          <w:sz w:val="24"/>
        </w:rPr>
      </w:pPr>
      <w:r>
        <w:rPr>
          <w:sz w:val="24"/>
        </w:rPr>
        <w:t xml:space="preserve">  </w:t>
      </w:r>
    </w:p>
    <w:p>
      <w:pPr>
        <w:pStyle w:val="BlockText"/>
        <w:ind w:hanging="540" w:start="1980" w:end="-810"/>
        <w:rPr>
          <w:sz w:val="24"/>
        </w:rPr>
      </w:pPr>
      <w:r>
        <w:rPr>
          <w:sz w:val="24"/>
        </w:rPr>
      </w:r>
    </w:p>
    <w:p>
      <w:pPr>
        <w:pStyle w:val="BlockText"/>
        <w:numPr>
          <w:ilvl w:val="0"/>
          <w:numId w:val="0"/>
        </w:numPr>
        <w:ind w:hanging="0" w:start="720" w:end="-810"/>
        <w:outlineLvl w:val="0"/>
        <w:rPr>
          <w:b/>
          <w:sz w:val="24"/>
        </w:rPr>
      </w:pPr>
      <w:r>
        <w:rPr>
          <w:b/>
          <w:sz w:val="24"/>
        </w:rPr>
        <w:t>OPTION TWO:</w:t>
      </w:r>
    </w:p>
    <w:p>
      <w:pPr>
        <w:pStyle w:val="BlockText"/>
        <w:ind w:hanging="540" w:start="1980" w:end="-810"/>
        <w:rPr>
          <w:b/>
          <w:sz w:val="24"/>
        </w:rPr>
      </w:pPr>
      <w:r>
        <w:rPr>
          <w:b/>
          <w:sz w:val="24"/>
        </w:rPr>
      </w:r>
    </w:p>
    <w:p>
      <w:pPr>
        <w:pStyle w:val="BlockText"/>
        <w:ind w:hanging="0" w:start="720" w:end="-810"/>
        <w:rPr/>
      </w:pPr>
      <w:r>
        <w:rPr>
          <w:b/>
          <w:sz w:val="24"/>
        </w:rPr>
        <w:t>The "Wheeling-In" Model</w:t>
      </w:r>
      <w:r>
        <w:rPr>
          <w:sz w:val="24"/>
        </w:rPr>
        <w:t xml:space="preserve">: Under option two, the states’ would maintain primary jurisdiction over the setting of rates for retail transmission service as well as over terms and conditions.  Under this model, the state would have exclusive authority over transactions “wheeling in” power to retail customers, while the FERC would retain jurisdiction over “wheeling through” and “wheeling out” transactions.  In short, this would preserve the wholesale/retail split, which was the cornerstone of the Federal Power Act for many years.  A state would be required to provide nondiscriminatory open access to all entities seeking to wheel in.  However, the states could set different rates for such transactions so long as such rates were applied in an equal, nondiscriminatory manner.  In short, this would not be dissimilar to the zonal approach to ratesetting which is presently embodied in the Midwest ISO agreement and several other ISOs, and would avoid the inevitable shortfall or over recovery which results from the mismatch between the FERC transmission rates and retail rates which often are frozen or capped for considerable years under state restructuring plans. </w:t>
      </w:r>
    </w:p>
    <w:p>
      <w:pPr>
        <w:pStyle w:val="BlockText"/>
        <w:ind w:hanging="540" w:start="720" w:end="-810"/>
        <w:rPr>
          <w:sz w:val="24"/>
        </w:rPr>
      </w:pPr>
      <w:r>
        <w:rPr>
          <w:sz w:val="24"/>
        </w:rPr>
      </w:r>
    </w:p>
    <w:p>
      <w:pPr>
        <w:pStyle w:val="BlockText"/>
        <w:ind w:hanging="0" w:start="720" w:end="-810"/>
        <w:rPr/>
      </w:pPr>
      <w:r>
        <w:rPr>
          <w:b/>
          <w:sz w:val="24"/>
        </w:rPr>
        <w:t>Example:</w:t>
      </w:r>
      <w:r>
        <w:rPr>
          <w:sz w:val="24"/>
        </w:rPr>
        <w:t xml:space="preserve"> Under this approach, the states would set retail terms and conditions on transmission of power to retail customers within their state.  The rates would not necessarily equal the FERC rates, but the access would be available, on a nondiscriminatory basis to all retail customers.  In this way, the traditional wholesale/retail split would be maintained while nondiscriminatory access to retail customers by both incumbents and new entrants would be preserved. </w:t>
      </w:r>
    </w:p>
    <w:p>
      <w:pPr>
        <w:pStyle w:val="BlockText"/>
        <w:ind w:hanging="0" w:start="720" w:end="-810"/>
        <w:rPr>
          <w:sz w:val="24"/>
        </w:rPr>
      </w:pPr>
      <w:r>
        <w:rPr>
          <w:sz w:val="24"/>
        </w:rPr>
      </w:r>
    </w:p>
    <w:p>
      <w:pPr>
        <w:pStyle w:val="BlockText"/>
        <w:numPr>
          <w:ilvl w:val="0"/>
          <w:numId w:val="0"/>
        </w:numPr>
        <w:ind w:hanging="0" w:start="720" w:end="-810"/>
        <w:outlineLvl w:val="0"/>
        <w:rPr>
          <w:b/>
          <w:sz w:val="24"/>
        </w:rPr>
      </w:pPr>
      <w:r>
        <w:rPr>
          <w:b/>
          <w:sz w:val="24"/>
        </w:rPr>
        <w:t>OPTION THREE:</w:t>
      </w:r>
    </w:p>
    <w:p>
      <w:pPr>
        <w:pStyle w:val="BlockText"/>
        <w:ind w:hanging="0" w:start="720" w:end="-810"/>
        <w:rPr>
          <w:b/>
          <w:sz w:val="24"/>
        </w:rPr>
      </w:pPr>
      <w:r>
        <w:rPr>
          <w:b/>
          <w:sz w:val="24"/>
        </w:rPr>
      </w:r>
    </w:p>
    <w:p>
      <w:pPr>
        <w:pStyle w:val="BlockText"/>
        <w:ind w:hanging="0" w:start="720" w:end="-810"/>
        <w:rPr/>
      </w:pPr>
      <w:r>
        <w:rPr>
          <w:b/>
          <w:sz w:val="24"/>
        </w:rPr>
        <w:t xml:space="preserve">The "Checklist Approach":  </w:t>
      </w:r>
      <w:r>
        <w:rPr>
          <w:sz w:val="24"/>
        </w:rPr>
        <w:t>Option three would utilize an approach to address market power issues similar to that embodied in the Federal Telecommunications Act of 1996.  In essence, both the state PUCs and the FERC would work together to address market power issues with specific assigned tasks to each.  This approach would adopt a “checklist” approach to repeal of PUHCA and PURPA.</w:t>
      </w:r>
    </w:p>
    <w:p>
      <w:pPr>
        <w:pStyle w:val="BlockText"/>
        <w:ind w:hanging="0" w:start="720" w:end="-810"/>
        <w:rPr>
          <w:sz w:val="24"/>
        </w:rPr>
      </w:pPr>
      <w:r>
        <w:rPr>
          <w:sz w:val="24"/>
        </w:rPr>
      </w:r>
    </w:p>
    <w:p>
      <w:pPr>
        <w:pStyle w:val="BlockText"/>
        <w:ind w:hanging="0" w:start="720" w:end="-810"/>
        <w:rPr>
          <w:sz w:val="24"/>
        </w:rPr>
      </w:pPr>
      <w:r>
        <w:rPr>
          <w:sz w:val="24"/>
        </w:rPr>
        <w:tab/>
        <w:t>A state would be required to hold a proceeding and certify to the FERC that both horizontal and vertical market power at the retail level were sufficiently mitigated to warrant release from the integration and related restrictions of PUHCA.  The FERC, like the FCC under the Telecomm Act, is required to give substantial deference to the state decision but can, as was done in the case of the application of Southwestern Bell for 271 authority which was supported by the Oklahoma Commission but rejected by the FCC, retains the final say.  The checklist would embrace a number of market power provisions, including participation in RTOs and the mitigation of horizontal market power through various state retail tools such as shopping credits, divestiture, state merger review, etc.  The checklist approach would also require the states to work toward the federal goal of open nondiscriminatory access at the wholesale level, such as mandating the use of FERC pricing (appropriately allocated) for retail transmission service, but would leave to the states the flexibility to capture the benefits of open wholesale access through either lower fuel costs to customers or through direct retail access, as their state legislatures see fit. This approach would provide for certain “mandates” on the states, but mandates that would move toward workable means to address market power at the retail level rather than federalizing all market power authority at the federal level.</w:t>
      </w:r>
    </w:p>
    <w:p>
      <w:pPr>
        <w:pStyle w:val="BlockText"/>
        <w:ind w:hanging="0" w:start="720" w:end="-810"/>
        <w:rPr>
          <w:sz w:val="24"/>
        </w:rPr>
      </w:pPr>
      <w:r>
        <w:rPr>
          <w:sz w:val="24"/>
        </w:rPr>
      </w:r>
    </w:p>
    <w:p>
      <w:pPr>
        <w:pStyle w:val="BlockText"/>
        <w:ind w:hanging="0" w:start="720" w:end="-810"/>
        <w:rPr/>
      </w:pPr>
      <w:r>
        <w:rPr>
          <w:b/>
          <w:sz w:val="24"/>
        </w:rPr>
        <w:t>Example</w:t>
      </w:r>
      <w:r>
        <w:rPr>
          <w:sz w:val="24"/>
        </w:rPr>
        <w:t>: The federal legislation would assign to the states initially, and ultimately to the FERC, a "checklist" of items to address market power.  Vertical market power would be addressed by state certification of an appropriate RTO which is independent and provides nondiscriminatory access.  Horizontal market power would be addressed through state review of mergers, review of divestiture proposals and other means, including opening up the provider-of-last-resort obligation to more than incumbents.  The states would develop an order that meets their local needs and provide certification to the FERC that their utilities meet these obligations.  The FERC would review the state's actions for compliance with the policy provisions of federal law and then provide the company with PUHCA relief and potentially other FERC carrots such as market-based pricing. The FERC could also step in if a state indicated it lacked legislative authority to address some of the issues on the checklist.</w:t>
      </w:r>
      <w:r>
        <w:br w:type="page"/>
      </w:r>
    </w:p>
    <w:p>
      <w:pPr>
        <w:pStyle w:val="BlockText"/>
        <w:ind w:hanging="0" w:start="720" w:end="-810"/>
        <w:jc w:val="center"/>
        <w:rPr>
          <w:b/>
          <w:sz w:val="24"/>
        </w:rPr>
      </w:pPr>
      <w:r>
        <w:rPr>
          <w:b/>
          <w:sz w:val="24"/>
        </w:rPr>
        <w:t>VERY PRELIMINARY DRAFT OF AAE AMENDMENT AS MODIFIED TO ADDRESS NATIVE LOAD AND REQUIRE FERC TO CONSULT WITH STATES AND MITIGATE RATE INCREASES DUE TO FERC RATEMAKING PRACTICES</w:t>
      </w:r>
    </w:p>
    <w:p>
      <w:pPr>
        <w:pStyle w:val="BlockText"/>
        <w:ind w:hanging="540" w:start="720" w:end="-810"/>
        <w:jc w:val="center"/>
        <w:rPr>
          <w:b/>
          <w:sz w:val="24"/>
        </w:rPr>
      </w:pPr>
      <w:r>
        <w:rPr>
          <w:b/>
          <w:sz w:val="24"/>
        </w:rPr>
      </w:r>
    </w:p>
    <w:p>
      <w:pPr>
        <w:pStyle w:val="Normal"/>
        <w:rPr/>
      </w:pPr>
      <w:r>
        <w:rPr/>
        <w:t>AMENDMENT TO H.R. 2944 AS REPORTED FROM SUBCOMMITTEE*</w:t>
      </w:r>
    </w:p>
    <w:p>
      <w:pPr>
        <w:pStyle w:val="Normal"/>
        <w:rPr/>
      </w:pPr>
      <w:r>
        <w:rPr/>
      </w:r>
    </w:p>
    <w:p>
      <w:pPr>
        <w:pStyle w:val="Normal"/>
        <w:rPr/>
      </w:pPr>
      <w:r>
        <w:rPr/>
      </w:r>
    </w:p>
    <w:p>
      <w:pPr>
        <w:pStyle w:val="Normal"/>
        <w:rPr/>
      </w:pPr>
      <w:r>
        <w:rPr/>
        <w:t xml:space="preserve">TO REQUIRE </w:t>
      </w:r>
      <w:r>
        <w:rPr>
          <w:u w:val="single"/>
        </w:rPr>
        <w:t>ALL</w:t>
      </w:r>
      <w:r>
        <w:rPr/>
        <w:t xml:space="preserve"> TRANSMISSION TO BE UNDER THE SAME OPEN ACCESS TARIFF AND TO REQUIRE SEPARATION OF SALES AND TRANSMISSION FUNCTIONS</w:t>
      </w:r>
    </w:p>
    <w:p>
      <w:pPr>
        <w:pStyle w:val="Normal"/>
        <w:rPr/>
      </w:pPr>
      <w:r>
        <w:rPr/>
        <w:t>1.  On page __ line __, following "including" insert "both the bundled and".</w:t>
      </w:r>
    </w:p>
    <w:p>
      <w:pPr>
        <w:pStyle w:val="Normal"/>
        <w:rPr/>
      </w:pPr>
      <w:r>
        <w:rPr/>
        <w:t>2.  On page __, beginning on line __, strike all through page __, line __.</w:t>
      </w:r>
    </w:p>
    <w:p>
      <w:pPr>
        <w:pStyle w:val="Normal"/>
        <w:rPr/>
      </w:pPr>
      <w:r>
        <w:rPr/>
        <w:t>3.  On page __, line __, following "including" insert "both the bundled and".</w:t>
      </w:r>
    </w:p>
    <w:p>
      <w:pPr>
        <w:pStyle w:val="Normal"/>
        <w:rPr/>
      </w:pPr>
      <w:r>
        <w:rPr/>
        <w:t xml:space="preserve">4.  On page __, strike lines __ through __.  </w:t>
      </w:r>
    </w:p>
    <w:p>
      <w:pPr>
        <w:pStyle w:val="Normal"/>
        <w:rPr/>
      </w:pPr>
      <w:r>
        <w:rPr/>
        <w:t>5.  On page __, between lines __ and __, insert the following:</w:t>
      </w:r>
    </w:p>
    <w:p>
      <w:pPr>
        <w:pStyle w:val="Normal"/>
        <w:rPr/>
      </w:pPr>
      <w:r>
        <w:rPr/>
        <w:tab/>
        <w:t>"(f)  LIMITATION ON JURISDICTION. -- Section 201(a) of the Federal Power Act is amended by redesignating it as Section 201(a)(1), and by adding new section 201(a)(2) as follows:</w:t>
      </w:r>
    </w:p>
    <w:p>
      <w:pPr>
        <w:pStyle w:val="Normal"/>
        <w:rPr/>
      </w:pPr>
      <w:r>
        <w:rPr/>
        <w:tab/>
        <w:t>"(2)  Nothing in this section shall provide the Commission jurisdiction over sales of electric energy at retail, or provide the Commission authority to require a local distribution company to provide open access over its local distribution facilities or otherwise affect the authority of a state or municipality to require unbundled retail sales of electric energy.”.</w:t>
      </w:r>
    </w:p>
    <w:p>
      <w:pPr>
        <w:pStyle w:val="Normal"/>
        <w:rPr/>
      </w:pPr>
      <w:r>
        <w:rPr/>
        <w:tab/>
        <w:t>"(g)   EQUAL RATES REQUIRED. -- Subsection 205(b)  of the Federal Power Act is amended by adding the following at the end:</w:t>
      </w:r>
    </w:p>
    <w:p>
      <w:pPr>
        <w:pStyle w:val="Normal"/>
        <w:rPr/>
      </w:pPr>
      <w:r>
        <w:rPr/>
        <w:tab/>
        <w:t xml:space="preserve">"No public utility shall maintain any difference in rates or charges for a particular service  between the transmission component of a bundled retail sale of electric energy and the transmission component of an unbundled  sale of electric energy.".  </w:t>
      </w:r>
    </w:p>
    <w:p>
      <w:pPr>
        <w:pStyle w:val="Normal"/>
        <w:rPr/>
      </w:pPr>
      <w:r>
        <w:rPr/>
        <w:tab/>
        <w:t>(h)  EQUAL ACCESS AND SEPARATION OF FUNCTIONS RULEMAKING REQUIREMENT. -- Subsection 205(c) of the Federal Power Act is amended by adding the following at the end:</w:t>
      </w:r>
    </w:p>
    <w:p>
      <w:pPr>
        <w:pStyle w:val="Normal"/>
        <w:rPr/>
      </w:pPr>
      <w:r>
        <w:rPr/>
        <w:tab/>
        <w:t>"(1)  RULEMAKING REQUIREMENT. -- Not later than one year from the date of enactment of the Electric Competition and Reliability Act, the Commission shall issue a final rule requiring each public utility and each transmitting utility to: (A)  file with the Commission  a tariff that establishes the same rates, terms and conditions for each type of service offered for the transmission component of bundled retail sales of electric energy and the transmission component of unbundled retail sales of electric energy; and (B) separate the transmission functions of public utilities and transmitting utilities from their generation and sales functions, which rules shall prohibit any corporate structure, tariff provision, or rate that would permit or provide incentives for  a public utility or transmitting utility to discriminate in favor of, or give a preference to, its own or  its affiliated generation or sales functions.</w:t>
      </w:r>
    </w:p>
    <w:p>
      <w:pPr>
        <w:pStyle w:val="Normal"/>
        <w:rPr/>
      </w:pPr>
      <w:r>
        <w:rPr/>
        <w:tab/>
        <w:t>"(2)  REQUIREMENT TO TAKE SERVICE UNDER THE TARIFF. --  Not later than eighteen months from the date of enactment of the Electric Competition and Reliability Act, the rule required by this section shall require each public utility and each transmitting utility to take service for all of its customers under the provisions of the tariff required by this section, unless the utility is a transmitting utility that is exempt pursuant to section 206(e)(1)(B).".</w:t>
      </w:r>
    </w:p>
    <w:p>
      <w:pPr>
        <w:pStyle w:val="BlockText"/>
        <w:ind w:firstLine="540" w:start="180" w:end="-810"/>
        <w:rPr>
          <w:sz w:val="24"/>
          <w:u w:val="single"/>
        </w:rPr>
      </w:pPr>
      <w:r>
        <w:rPr>
          <w:sz w:val="24"/>
          <w:u w:val="single"/>
        </w:rPr>
        <w:t>“</w:t>
      </w:r>
      <w:r>
        <w:rPr>
          <w:sz w:val="24"/>
          <w:u w:val="single"/>
        </w:rPr>
        <w:t>(3)</w:t>
        <w:tab/>
        <w:t xml:space="preserve">PROTECTION OF CAPACITY TO SERVE NATIVE LOAD. -- The rule required by this section shall ensure that each public utility has adequate transmission capacity to serve the electric energy needs of its existing {firm}{residential and small commercial} retail customers.  The capacity shall be in the form of firm transmission rights, or financial rights equivalent to firm transmission rights.  </w:t>
      </w:r>
    </w:p>
    <w:p>
      <w:pPr>
        <w:pStyle w:val="BlockText"/>
        <w:ind w:hanging="0" w:start="180" w:end="-810"/>
        <w:rPr>
          <w:sz w:val="24"/>
          <w:u w:val="single"/>
        </w:rPr>
      </w:pPr>
      <w:r>
        <w:rPr>
          <w:sz w:val="24"/>
          <w:u w:val="single"/>
        </w:rPr>
        <w:tab/>
        <w:t>“(4)</w:t>
        <w:tab/>
        <w:t xml:space="preserve">RATEMAKING STANDARDS FOR STATES WITH BUNDLED RETAIL SALES OF ELECTRIC ENERGY. -- In establishing rates for the transmission component  of bundled retail sales of electric energy, the Commission shall consult with the appropriate state ratemaking authority to determine the rate structure currently in effect for such facilities.  If the Commission determines that changing the rate structure that is currently in effect would result in increased rates for bundled retail customers, it shall establish rates or a mitigation plan for an appropriate transition period that will ensure that bundled retail customers are not adversely affected by the change in regulatory jurisdiction. </w:t>
      </w:r>
    </w:p>
    <w:p>
      <w:pPr>
        <w:pStyle w:val="BlockText"/>
        <w:numPr>
          <w:ilvl w:val="0"/>
          <w:numId w:val="1"/>
        </w:numPr>
        <w:pBdr>
          <w:bottom w:val="single" w:sz="12" w:space="1" w:color="000000"/>
        </w:pBdr>
        <w:rPr>
          <w:sz w:val="24"/>
        </w:rPr>
      </w:pPr>
      <w:r>
        <w:rPr>
          <w:sz w:val="24"/>
        </w:rPr>
        <w:t>On page ___, beginning on line ___, strike all through page ___, line ___.”</w:t>
      </w:r>
    </w:p>
    <w:p>
      <w:pPr>
        <w:pStyle w:val="BlockText"/>
        <w:ind w:hanging="540" w:end="-810"/>
        <w:rPr>
          <w:sz w:val="24"/>
        </w:rPr>
      </w:pPr>
      <w:r>
        <w:rPr>
          <w:sz w:val="24"/>
        </w:rPr>
      </w:r>
    </w:p>
    <w:p>
      <w:pPr>
        <w:pStyle w:val="BlockText"/>
        <w:ind w:hanging="540" w:end="-810"/>
        <w:rPr>
          <w:sz w:val="24"/>
        </w:rPr>
      </w:pPr>
      <w:r>
        <w:rPr>
          <w:sz w:val="24"/>
        </w:rPr>
        <w:t>*  Note:  Page numbers need to be conformed to bill as reported from Subcommittee.  New text is underlined.</w:t>
      </w:r>
    </w:p>
    <w:p>
      <w:pPr>
        <w:pStyle w:val="BlockText"/>
        <w:ind w:hanging="0" w:start="180" w:end="-810"/>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tabs>
        <w:tab w:val="left" w:pos="720" w:leader="none"/>
        <w:tab w:val="center" w:pos="4320" w:leader="none"/>
        <w:tab w:val="right" w:pos="8640" w:leader="none"/>
      </w:tabs>
      <w:jc w:val="start"/>
      <w:rPr>
        <w:rFonts w:ascii="Humanst521 Lt BT" w:hAnsi="Humanst521 Lt BT" w:cs="Humanst521 Lt BT"/>
        <w:sz w:val="12"/>
      </w:rPr>
    </w:pPr>
    <w:r>
      <w:rPr>
        <w:rFonts w:cs="Humanst521 Lt BT" w:ascii="Humanst521 Lt BT" w:hAnsi="Humanst521 Lt BT"/>
        <w:sz w:val="12"/>
      </w:rPr>
      <w:tab/>
    </w:r>
    <w:bookmarkStart w:id="19" w:name="CityOrd"/>
    <w:bookmarkEnd w:id="19"/>
    <w:r>
      <w:rPr>
        <w:rFonts w:cs="Humanst521 Lt BT" w:ascii="Humanst521 Lt BT" w:hAnsi="Humanst521 Lt BT"/>
        <w:sz w:val="12"/>
      </w:rPr>
      <w:t>WASHINGTON, D.C.       AUSTIN         BEIJING         DALLAS         HOUSTON          LONDON          MOSCOW         NEW  YORK         SINGAPORE</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The memorandum is lengthier than it would ordinarily be.  But since it’s my “parting shot” I thought I’d commit the background information to writing.  </w:t>
      </w:r>
    </w:p>
  </w:footnote>
  <w:footnote w:id="3">
    <w:p>
      <w:pPr>
        <w:pStyle w:val="FootnoteText"/>
        <w:rPr/>
      </w:pPr>
      <w:r>
        <w:rPr>
          <w:rStyle w:val="FootnoteCharacters"/>
        </w:rPr>
        <w:footnoteRef/>
      </w:r>
      <w:r>
        <w:rPr/>
        <w:t xml:space="preserve"> </w:t>
      </w:r>
      <w:r>
        <w:rPr/>
        <w:tab/>
        <w:t xml:space="preserve">A detailed summary of the transmission jurisdiction provisions of H.R. 2944, prepared by Committee staff, is attached. </w:t>
      </w:r>
    </w:p>
  </w:footnote>
  <w:footnote w:id="4">
    <w:p>
      <w:pPr>
        <w:pStyle w:val="FootnoteText"/>
        <w:rPr/>
      </w:pPr>
      <w:r>
        <w:rPr>
          <w:rStyle w:val="FootnoteCharacters"/>
        </w:rPr>
        <w:footnoteRef/>
      </w:r>
      <w:r>
        <w:rPr/>
        <w:t xml:space="preserve"> </w:t>
      </w:r>
      <w:r>
        <w:rPr/>
        <w:tab/>
        <w:t xml:space="preserve">The amendment was dubbed the “Moler Amendment” by the Subcommittee staff; I disavow the title. </w:t>
      </w:r>
    </w:p>
  </w:footnote>
  <w:footnote w:id="5">
    <w:p>
      <w:pPr>
        <w:pStyle w:val="FootnoteText"/>
        <w:rPr/>
      </w:pPr>
      <w:r>
        <w:rPr>
          <w:rStyle w:val="FootnoteCharacters"/>
        </w:rPr>
        <w:footnoteRef/>
      </w:r>
      <w:r>
        <w:rPr/>
        <w:t xml:space="preserve"> </w:t>
      </w:r>
      <w:r>
        <w:rPr/>
        <w:tab/>
        <w:t>Comm. Glazer’s memorandum is reproduced  in attachment #2.</w:t>
      </w:r>
    </w:p>
  </w:footnote>
  <w:footnote w:id="6">
    <w:p>
      <w:pPr>
        <w:pStyle w:val="FootnoteText"/>
        <w:rPr/>
      </w:pPr>
      <w:r>
        <w:rPr>
          <w:rStyle w:val="FootnoteCharacters"/>
        </w:rPr>
        <w:footnoteRef/>
      </w:r>
      <w:r>
        <w:rPr/>
        <w:t xml:space="preserve"> </w:t>
      </w:r>
      <w:r>
        <w:rPr/>
        <w:tab/>
        <w:t>It doesn’t seem useful to talk further with the Barton staff; they’re pleased with what they have done so far.</w:t>
      </w:r>
    </w:p>
  </w:footnote>
  <w:footnote w:id="7">
    <w:p>
      <w:pPr>
        <w:pStyle w:val="FootnoteText"/>
        <w:rPr/>
      </w:pPr>
      <w:r>
        <w:rPr>
          <w:rStyle w:val="FootnoteCharacters"/>
        </w:rPr>
        <w:footnoteRef/>
      </w:r>
      <w:r>
        <w:rPr>
          <w:rStyle w:val="FootnoteCharacters"/>
        </w:rPr>
        <w:t>6</w:t>
      </w:r>
      <w:r>
        <w:rPr/>
        <w:t xml:space="preserve"> </w:t>
        <w:tab/>
        <w:t xml:space="preserve">As an aside, I would note that local distribution utilities were also worried about serving native load customers when Order No. 636 was being developed.  They were given a “right of first refusal” for their existing capacity when restructuring occurred.  However, electric transmission capacity rights are not as clearly defined as gas pipeline capacity rights, so the approach is not instantly transferrable.  </w:t>
      </w:r>
    </w:p>
  </w:footnote>
  <w:footnote w:id="8">
    <w:p>
      <w:pPr>
        <w:pStyle w:val="FootnoteText"/>
        <w:rPr/>
      </w:pPr>
      <w:r>
        <w:rPr>
          <w:rStyle w:val="FootnoteCharacters"/>
        </w:rPr>
        <w:footnoteRef/>
      </w:r>
      <w:r>
        <w:rPr/>
        <w:t xml:space="preserve"> </w:t>
      </w:r>
      <w:r>
        <w:rPr/>
        <w:tab/>
        <w:t>Ironically, some IOUs are worried about FERC having jurisdiction over transmission because of their belief that their state regulatory authorities are more generous from a ratemaking point of view than FERC is.</w:t>
      </w:r>
    </w:p>
  </w:footnote>
  <w:footnote w:id="9">
    <w:p>
      <w:pPr>
        <w:pStyle w:val="FootnoteText"/>
        <w:rPr/>
      </w:pPr>
      <w:r>
        <w:rPr>
          <w:rStyle w:val="FootnoteCharacters"/>
        </w:rPr>
        <w:footnoteRef/>
      </w:r>
      <w:r>
        <w:rPr/>
        <w:t xml:space="preserve"> </w:t>
      </w:r>
      <w:r>
        <w:rPr/>
        <w:tab/>
        <w:t xml:space="preserve">This is similar to the approach used in Order No. 636.  Order No. 636 required natural gas pipelines to use Straight Fixed Variable (SFV) rate design.  The Commission, at my insistence, required mitigation measures to be developed by the pipeline if any customer, or customer class, would have had a 10% or greater rate increase.  </w:t>
      </w:r>
    </w:p>
  </w:footnote>
  <w:footnote w:id="10">
    <w:p>
      <w:pPr>
        <w:pStyle w:val="FootnoteText"/>
        <w:rPr/>
      </w:pPr>
      <w:r>
        <w:rPr>
          <w:rStyle w:val="FootnoteCharacters"/>
        </w:rPr>
        <w:footnoteRef/>
      </w:r>
      <w:r>
        <w:rPr/>
        <w:t xml:space="preserve">   </w:t>
      </w:r>
      <w:r>
        <w:rPr/>
        <w:tab/>
        <w:t>Note:  Summary prepared by House Commerce Committee Staff.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17" w:name="HeaderAAddressee"/>
    <w:bookmarkEnd w:id="17"/>
    <w:r>
      <w:rPr/>
      <w:t>Steve Kean and Cynthia Sandherr</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Header"/>
      <w:rPr/>
    </w:pPr>
    <w:bookmarkStart w:id="18" w:name="HeaderADate"/>
    <w:bookmarkEnd w:id="18"/>
    <w:r>
      <w:rPr>
        <w:rStyle w:val="PageNumber"/>
      </w:rPr>
      <w:t>January 2, 2000</w: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600"/>
        </w:tabs>
        <w:ind w:start="600" w:hanging="360"/>
      </w:pPr>
      <w:r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2"/>
      <w:numFmt w:val="bullet"/>
      <w:lvlText w:val=""/>
      <w:lvlJc w:val="start"/>
      <w:pPr>
        <w:tabs>
          <w:tab w:val="num" w:pos="1440"/>
        </w:tabs>
        <w:ind w:start="1440" w:hanging="72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spacing w:before="120" w:after="240"/>
      <w:jc w:val="start"/>
    </w:pPr>
    <w:rPr>
      <w:b/>
      <w:caps/>
      <w:spacing w:val="180"/>
      <w:kern w:val="2"/>
      <w:sz w:val="32"/>
    </w:rPr>
  </w:style>
  <w:style w:type="paragraph" w:styleId="FootnoteText">
    <w:name w:val="footnote text"/>
    <w:basedOn w:val="Normal"/>
    <w:pPr/>
    <w:rPr>
      <w:sz w:val="20"/>
    </w:rPr>
  </w:style>
  <w:style w:type="paragraph" w:styleId="BlockText">
    <w:name w:val="Block Text"/>
    <w:basedOn w:val="Normal"/>
    <w:qFormat/>
    <w:pPr>
      <w:ind w:hanging="1440" w:start="540" w:end="-810"/>
      <w:jc w:val="start"/>
    </w:pPr>
    <w:rPr>
      <w:sz w:val="28"/>
    </w:rPr>
  </w:style>
  <w:style w:type="paragraph" w:styleId="BodyTextIndent">
    <w:name w:val="Body Text Indent"/>
    <w:basedOn w:val="Normal"/>
    <w:pPr>
      <w:ind w:hanging="540" w:start="540" w:end="0"/>
      <w:jc w:val="start"/>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vepplhm.dot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2000-01-03T03:40:00Z</dcterms:created>
  <dc:creator>Vinson &amp; Elkins L.L.P.</dc:creator>
  <dc:description/>
  <dc:language>en-CA</dc:language>
  <cp:lastModifiedBy>Vinson &amp; Elkins L.L.P.</cp:lastModifiedBy>
  <cp:lastPrinted>1999-12-29T14:22:00Z</cp:lastPrinted>
  <dcterms:modified xsi:type="dcterms:W3CDTF">2000-01-03T03:40:00Z</dcterms:modified>
  <cp:revision>2</cp:revision>
  <dc:subject/>
  <dc:title>&amp;</dc:title>
</cp:coreProperties>
</file>