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lang w:val="en-US"/>
        </w:rPr>
      </w:pPr>
      <w:r>
        <w:rPr>
          <w:lang w:val="en-US"/>
        </w:rPr>
        <w:t>RHM Draft</w:t>
      </w:r>
    </w:p>
    <w:p>
      <w:pPr>
        <w:pStyle w:val="Normal"/>
        <w:jc w:val="end"/>
        <w:rPr>
          <w:lang w:val="en-US"/>
        </w:rPr>
      </w:pPr>
      <w:r>
        <w:rPr>
          <w:lang w:val="en-US"/>
        </w:rPr>
        <w:t>05/XI/99</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jc w:val="center"/>
        <w:rPr>
          <w:lang w:val="en-US"/>
        </w:rPr>
      </w:pPr>
      <w:r>
        <w:rPr>
          <w:lang w:val="en-US"/>
        </w:rPr>
        <w:t>November 8, 1999</w:t>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start"/>
        <w:rPr/>
      </w:pPr>
      <w:r>
        <w:rPr>
          <w:b/>
          <w:lang w:val="en-US"/>
        </w:rPr>
        <w:t>Memorandum to:</w:t>
      </w:r>
      <w:r>
        <w:rPr>
          <w:lang w:val="en-US"/>
        </w:rPr>
        <w:tab/>
        <w:t>Mark E. Taylor</w:t>
      </w:r>
    </w:p>
    <w:p>
      <w:pPr>
        <w:pStyle w:val="Normal"/>
        <w:jc w:val="start"/>
        <w:rPr>
          <w:lang w:val="en-US"/>
        </w:rPr>
      </w:pPr>
      <w:r>
        <w:rPr>
          <w:lang w:val="en-US"/>
        </w:rPr>
        <w:tab/>
        <w:tab/>
        <w:tab/>
        <w:t>Alan B. Aronowitz</w:t>
      </w:r>
    </w:p>
    <w:p>
      <w:pPr>
        <w:pStyle w:val="Normal"/>
        <w:jc w:val="start"/>
        <w:rPr>
          <w:lang w:val="en-US"/>
        </w:rPr>
      </w:pPr>
      <w:r>
        <w:rPr>
          <w:lang w:val="en-US"/>
        </w:rPr>
        <w:tab/>
        <w:tab/>
        <w:tab/>
        <w:t>Enron North America</w:t>
      </w:r>
    </w:p>
    <w:p>
      <w:pPr>
        <w:pStyle w:val="Normal"/>
        <w:jc w:val="start"/>
        <w:rPr>
          <w:lang w:val="en-US"/>
        </w:rPr>
      </w:pPr>
      <w:r>
        <w:rPr>
          <w:lang w:val="en-US"/>
        </w:rPr>
      </w:r>
    </w:p>
    <w:p>
      <w:pPr>
        <w:pStyle w:val="Normal"/>
        <w:jc w:val="start"/>
        <w:rPr>
          <w:lang w:val="en-US"/>
        </w:rPr>
      </w:pPr>
      <w:r>
        <w:rPr>
          <w:lang w:val="en-US"/>
        </w:rPr>
      </w:r>
    </w:p>
    <w:p>
      <w:pPr>
        <w:pStyle w:val="Heading1"/>
        <w:ind w:hanging="0" w:start="0"/>
        <w:rPr/>
      </w:pPr>
      <w:r>
        <w:rPr/>
        <w:t>Internet Commodities Trading</w:t>
      </w:r>
    </w:p>
    <w:p>
      <w:pPr>
        <w:pStyle w:val="Normal"/>
        <w:jc w:val="center"/>
        <w:rPr>
          <w:lang w:val="en-US"/>
        </w:rPr>
      </w:pPr>
      <w:r>
        <w:rPr>
          <w:lang w:val="en-US"/>
        </w:rPr>
      </w:r>
    </w:p>
    <w:p>
      <w:pPr>
        <w:pStyle w:val="Normal"/>
        <w:jc w:val="center"/>
        <w:rPr>
          <w:lang w:val="en-US"/>
        </w:rPr>
      </w:pPr>
      <w:r>
        <w:rPr>
          <w:lang w:val="en-US"/>
        </w:rPr>
      </w:r>
    </w:p>
    <w:p>
      <w:pPr>
        <w:pStyle w:val="Normal"/>
        <w:jc w:val="start"/>
        <w:rPr/>
      </w:pPr>
      <w:r>
        <w:rPr>
          <w:lang w:val="en-US"/>
        </w:rPr>
        <w:tab/>
        <w:t>I make reference to your memorandum dated October 25, 1999 in connection with our memorandum dated April 25, 1997 (the “</w:t>
      </w:r>
      <w:r>
        <w:rPr>
          <w:u w:val="single"/>
          <w:lang w:val="en-US"/>
        </w:rPr>
        <w:t>Reply Memorandum</w:t>
      </w:r>
      <w:r>
        <w:rPr>
          <w:lang w:val="en-US"/>
        </w:rPr>
        <w:t>”) regarding financial and physical trading of energy services.  You have requested us to provide you with an update to our Reply Memorandum.  Specifically, you have requested us to (i) confirm if any of our answers in the Reply Memorandum are different today and (ii) to include the answers to the questions listed below.</w:t>
      </w:r>
    </w:p>
    <w:p>
      <w:pPr>
        <w:pStyle w:val="Normal"/>
        <w:jc w:val="start"/>
        <w:rPr>
          <w:lang w:val="en-US"/>
        </w:rPr>
      </w:pPr>
      <w:r>
        <w:rPr>
          <w:lang w:val="en-US"/>
        </w:rPr>
      </w:r>
    </w:p>
    <w:p>
      <w:pPr>
        <w:pStyle w:val="Normal"/>
        <w:jc w:val="start"/>
        <w:rPr>
          <w:lang w:val="en-US"/>
        </w:rPr>
      </w:pPr>
      <w:r>
        <w:rPr>
          <w:lang w:val="en-US"/>
        </w:rPr>
        <w:tab/>
        <w:t>Please be advised that, except for what is described in this memorandum, all answers contained in the Reply Memorandum are correct.</w:t>
      </w:r>
    </w:p>
    <w:p>
      <w:pPr>
        <w:pStyle w:val="Normal"/>
        <w:jc w:val="start"/>
        <w:rPr>
          <w:lang w:val="en-US"/>
        </w:rPr>
      </w:pPr>
      <w:r>
        <w:rPr>
          <w:lang w:val="en-US"/>
        </w:rPr>
      </w:r>
    </w:p>
    <w:p>
      <w:pPr>
        <w:pStyle w:val="BodyText"/>
        <w:ind w:firstLine="708" w:end="312"/>
        <w:rPr>
          <w:lang w:val="en-US"/>
        </w:rPr>
      </w:pPr>
      <w:r>
        <w:rPr>
          <w:lang w:val="en-US"/>
        </w:rPr>
        <w:t>Capitalized terms used herein and not otherwise defined shall have the same meaning given to those terms in the Reply Memorandum.  Your questions are being answered in the order in which they were presented.</w:t>
      </w:r>
    </w:p>
    <w:p>
      <w:pPr>
        <w:pStyle w:val="Normal"/>
        <w:ind w:end="312"/>
        <w:rPr>
          <w:rFonts w:ascii="Courier;Courier New" w:hAnsi="Courier;Courier New" w:cs="Courier;Courier New"/>
          <w:lang w:val="en-US"/>
        </w:rPr>
      </w:pPr>
      <w:r>
        <w:rPr>
          <w:rFonts w:cs="Courier;Courier New" w:ascii="Courier;Courier New" w:hAnsi="Courier;Courier New"/>
          <w:lang w:val="en-US"/>
        </w:rPr>
      </w:r>
    </w:p>
    <w:p>
      <w:pPr>
        <w:pStyle w:val="Normal"/>
        <w:jc w:val="start"/>
        <w:rPr>
          <w:rFonts w:ascii="Courier;Courier New" w:hAnsi="Courier;Courier New" w:cs="Courier;Courier New"/>
          <w:lang w:val="en-US"/>
        </w:rPr>
      </w:pPr>
      <w:r>
        <w:rPr>
          <w:rFonts w:cs="Courier;Courier New" w:ascii="Courier;Courier New" w:hAnsi="Courier;Courier New"/>
          <w:lang w:val="en-US"/>
        </w:rPr>
        <w:tab/>
        <w:t>Please note that this memorandum is a general discussion for information purposes only and should not be considered as legal advice with respect to a specific transaction.</w:t>
      </w:r>
    </w:p>
    <w:p>
      <w:pPr>
        <w:pStyle w:val="Normal"/>
        <w:jc w:val="start"/>
        <w:rPr>
          <w:rFonts w:ascii="Courier;Courier New" w:hAnsi="Courier;Courier New" w:cs="Courier;Courier New"/>
          <w:lang w:val="en-US"/>
        </w:rPr>
      </w:pPr>
      <w:r>
        <w:rPr>
          <w:rFonts w:cs="Courier;Courier New" w:ascii="Courier;Courier New" w:hAnsi="Courier;Courier New"/>
          <w:lang w:val="en-US"/>
        </w:rPr>
      </w:r>
    </w:p>
    <w:p>
      <w:pPr>
        <w:pStyle w:val="Normal"/>
        <w:jc w:val="start"/>
        <w:rPr>
          <w:rFonts w:ascii="Courier;Courier New" w:hAnsi="Courier;Courier New" w:cs="Courier;Courier New"/>
          <w:lang w:val="en-US"/>
        </w:rPr>
      </w:pPr>
      <w:r>
        <w:rPr>
          <w:rFonts w:cs="Courier;Courier New" w:ascii="Courier;Courier New" w:hAnsi="Courier;Courier New"/>
          <w:lang w:val="en-US"/>
        </w:rPr>
      </w:r>
    </w:p>
    <w:p>
      <w:pPr>
        <w:pStyle w:val="Normal"/>
        <w:jc w:val="start"/>
        <w:rPr/>
      </w:pPr>
      <w:r>
        <w:rPr>
          <w:rFonts w:cs="Courier;Courier New" w:ascii="Courier;Courier New" w:hAnsi="Courier;Courier New"/>
          <w:lang w:val="en-US"/>
        </w:rPr>
        <w:t xml:space="preserve">I.  </w:t>
      </w:r>
      <w:r>
        <w:rPr>
          <w:rFonts w:cs="Courier;Courier New" w:ascii="Courier;Courier New" w:hAnsi="Courier;Courier New"/>
          <w:u w:val="single"/>
          <w:lang w:val="en-US"/>
        </w:rPr>
        <w:t>Changes to the Reply Memorandum</w:t>
      </w:r>
      <w:r>
        <w:rPr>
          <w:rFonts w:cs="Courier;Courier New" w:ascii="Courier;Courier New" w:hAnsi="Courier;Courier New"/>
          <w:lang w:val="en-US"/>
        </w:rPr>
        <w:t>.</w:t>
      </w:r>
    </w:p>
    <w:p>
      <w:pPr>
        <w:pStyle w:val="Normal"/>
        <w:jc w:val="start"/>
        <w:rPr>
          <w:rFonts w:ascii="Courier;Courier New" w:hAnsi="Courier;Courier New" w:cs="Courier;Courier New"/>
          <w:u w:val="single"/>
          <w:lang w:val="en-US"/>
        </w:rPr>
      </w:pPr>
      <w:r>
        <w:rPr>
          <w:rFonts w:cs="Courier;Courier New" w:ascii="Courier;Courier New" w:hAnsi="Courier;Courier New"/>
          <w:u w:val="single"/>
          <w:lang w:val="en-US"/>
        </w:rPr>
      </w:r>
    </w:p>
    <w:p>
      <w:pPr>
        <w:pStyle w:val="Normal"/>
        <w:jc w:val="start"/>
        <w:rPr>
          <w:rFonts w:ascii="Courier;Courier New" w:hAnsi="Courier;Courier New" w:cs="Courier;Courier New"/>
          <w:lang w:val="en-US"/>
        </w:rPr>
      </w:pPr>
      <w:r>
        <w:rPr>
          <w:rFonts w:cs="Courier;Courier New" w:ascii="Courier;Courier New" w:hAnsi="Courier;Courier New"/>
          <w:lang w:val="en-US"/>
        </w:rPr>
        <w:tab/>
      </w:r>
      <w:r>
        <w:rPr>
          <w:rFonts w:cs="Courier;Courier New" w:ascii="Courier;Courier New" w:hAnsi="Courier;Courier New"/>
          <w:b/>
          <w:lang w:val="en-US"/>
        </w:rPr>
        <w:t>1.</w:t>
      </w:r>
      <w:r>
        <w:rPr>
          <w:rFonts w:cs="Courier;Courier New" w:ascii="Courier;Courier New" w:hAnsi="Courier;Courier New"/>
          <w:lang w:val="en-US"/>
        </w:rPr>
        <w:t xml:space="preserve"> </w:t>
      </w:r>
      <w:r>
        <w:rPr>
          <w:rFonts w:cs="Courier;Courier New" w:ascii="Courier;Courier New" w:hAnsi="Courier;Courier New"/>
          <w:b/>
          <w:lang w:val="en-US"/>
        </w:rPr>
        <w:t>Section 1</w:t>
      </w:r>
      <w:r>
        <w:rPr>
          <w:rFonts w:cs="Courier;Courier New" w:ascii="Courier;Courier New" w:hAnsi="Courier;Courier New"/>
          <w:lang w:val="en-US"/>
        </w:rPr>
        <w:t xml:space="preserve"> </w:t>
      </w:r>
      <w:r>
        <w:rPr>
          <w:rFonts w:cs="Courier;Courier New" w:ascii="Courier;Courier New" w:hAnsi="Courier;Courier New"/>
          <w:b/>
          <w:lang w:val="en-US"/>
        </w:rPr>
        <w:t>Capacity question (a)</w:t>
      </w:r>
    </w:p>
    <w:p>
      <w:pPr>
        <w:pStyle w:val="Normal"/>
        <w:jc w:val="start"/>
        <w:rPr>
          <w:rFonts w:ascii="Courier;Courier New" w:hAnsi="Courier;Courier New" w:cs="Courier;Courier New"/>
          <w:lang w:val="en-US"/>
        </w:rPr>
      </w:pPr>
      <w:r>
        <w:rPr>
          <w:rFonts w:cs="Courier;Courier New" w:ascii="Courier;Courier New" w:hAnsi="Courier;Courier New"/>
          <w:lang w:val="en-US"/>
        </w:rPr>
      </w:r>
    </w:p>
    <w:p>
      <w:pPr>
        <w:pStyle w:val="Normal"/>
        <w:jc w:val="start"/>
        <w:rPr>
          <w:rFonts w:ascii="Courier;Courier New" w:hAnsi="Courier;Courier New" w:cs="Courier;Courier New"/>
          <w:lang w:val="en-US"/>
        </w:rPr>
      </w:pPr>
      <w:r>
        <w:rPr>
          <w:rFonts w:cs="Courier;Courier New" w:ascii="Courier;Courier New" w:hAnsi="Courier;Courier New"/>
          <w:lang w:val="en-US"/>
        </w:rPr>
        <w:tab/>
        <w:t>Please note that a futures and options market, MEXDER, Mercado Mexicano de Derivados, S.A. de C.V. has recently started operations.</w:t>
      </w:r>
    </w:p>
    <w:p>
      <w:pPr>
        <w:pStyle w:val="Normal"/>
        <w:jc w:val="start"/>
        <w:rPr>
          <w:rFonts w:ascii="Courier;Courier New" w:hAnsi="Courier;Courier New" w:cs="Courier;Courier New"/>
          <w:lang w:val="en-US"/>
        </w:rPr>
      </w:pPr>
      <w:r>
        <w:rPr>
          <w:rFonts w:cs="Courier;Courier New" w:ascii="Courier;Courier New" w:hAnsi="Courier;Courier New"/>
          <w:lang w:val="en-US"/>
        </w:rPr>
      </w:r>
    </w:p>
    <w:p>
      <w:pPr>
        <w:pStyle w:val="Normal"/>
        <w:jc w:val="start"/>
        <w:rPr/>
      </w:pPr>
      <w:r>
        <w:rPr>
          <w:rFonts w:cs="Courier;Courier New" w:ascii="Courier;Courier New" w:hAnsi="Courier;Courier New"/>
          <w:lang w:val="en-US"/>
        </w:rPr>
        <w:tab/>
      </w:r>
      <w:r>
        <w:rPr>
          <w:rFonts w:cs="Courier;Courier New" w:ascii="Courier;Courier New" w:hAnsi="Courier;Courier New"/>
          <w:b/>
          <w:lang w:val="en-US"/>
        </w:rPr>
        <w:t>2.</w:t>
      </w:r>
      <w:r>
        <w:rPr>
          <w:rFonts w:cs="Courier;Courier New" w:ascii="Courier;Courier New" w:hAnsi="Courier;Courier New"/>
          <w:lang w:val="en-US"/>
        </w:rPr>
        <w:t xml:space="preserve"> </w:t>
      </w:r>
      <w:r>
        <w:rPr>
          <w:rFonts w:cs="Courier;Courier New" w:ascii="Courier;Courier New" w:hAnsi="Courier;Courier New"/>
          <w:b/>
          <w:lang w:val="en-US"/>
        </w:rPr>
        <w:t>Section 2 Capacity question (a)(ii)</w:t>
      </w:r>
    </w:p>
    <w:p>
      <w:pPr>
        <w:pStyle w:val="Normal"/>
        <w:jc w:val="start"/>
        <w:rPr>
          <w:rFonts w:ascii="Courier;Courier New" w:hAnsi="Courier;Courier New" w:cs="Courier;Courier New"/>
          <w:b/>
          <w:lang w:val="en-US"/>
        </w:rPr>
      </w:pPr>
      <w:r>
        <w:rPr>
          <w:rFonts w:cs="Courier;Courier New" w:ascii="Courier;Courier New" w:hAnsi="Courier;Courier New"/>
          <w:b/>
          <w:lang w:val="en-US"/>
        </w:rPr>
      </w:r>
    </w:p>
    <w:p>
      <w:pPr>
        <w:pStyle w:val="Normal"/>
        <w:jc w:val="start"/>
        <w:rPr/>
      </w:pPr>
      <w:r>
        <w:rPr>
          <w:rFonts w:cs="Courier;Courier New" w:ascii="Courier;Courier New" w:hAnsi="Courier;Courier New"/>
          <w:b/>
          <w:lang w:val="en-US"/>
        </w:rPr>
        <w:tab/>
      </w:r>
      <w:r>
        <w:rPr>
          <w:rFonts w:cs="Courier;Courier New" w:ascii="Courier;Courier New" w:hAnsi="Courier;Courier New"/>
          <w:lang w:val="en-US"/>
        </w:rPr>
        <w:t>Please note that the references to sections of Circular 2019/95 shall be only Sections M.51 and M.52.</w:t>
      </w:r>
    </w:p>
    <w:p>
      <w:pPr>
        <w:pStyle w:val="Normal"/>
        <w:jc w:val="start"/>
        <w:rPr>
          <w:rFonts w:ascii="Courier;Courier New" w:hAnsi="Courier;Courier New" w:cs="Courier;Courier New"/>
          <w:lang w:val="en-US"/>
        </w:rPr>
      </w:pPr>
      <w:r>
        <w:rPr>
          <w:rFonts w:cs="Courier;Courier New" w:ascii="Courier;Courier New" w:hAnsi="Courier;Courier New"/>
          <w:lang w:val="en-US"/>
        </w:rPr>
      </w:r>
    </w:p>
    <w:p>
      <w:pPr>
        <w:pStyle w:val="Normal"/>
        <w:jc w:val="start"/>
        <w:rPr>
          <w:rFonts w:ascii="Courier;Courier New" w:hAnsi="Courier;Courier New" w:cs="Courier;Courier New"/>
          <w:lang w:val="en-US"/>
        </w:rPr>
      </w:pPr>
      <w:r>
        <w:rPr>
          <w:rFonts w:cs="Courier;Courier New" w:ascii="Courier;Courier New" w:hAnsi="Courier;Courier New"/>
          <w:lang w:val="en-US"/>
        </w:rPr>
        <w:tab/>
        <w:t>Also, please note that Circular 2019/95 limits the precious metals in which Mexican banks may effect trading transactions to gold and silver.</w:t>
      </w:r>
    </w:p>
    <w:p>
      <w:pPr>
        <w:pStyle w:val="Normal"/>
        <w:jc w:val="start"/>
        <w:rPr>
          <w:rFonts w:ascii="Courier;Courier New" w:hAnsi="Courier;Courier New" w:cs="Courier;Courier New"/>
          <w:lang w:val="en-US"/>
        </w:rPr>
      </w:pPr>
      <w:r>
        <w:rPr>
          <w:rFonts w:cs="Courier;Courier New" w:ascii="Courier;Courier New" w:hAnsi="Courier;Courier New"/>
          <w:lang w:val="en-US"/>
        </w:rPr>
      </w:r>
    </w:p>
    <w:p>
      <w:pPr>
        <w:pStyle w:val="Normal"/>
        <w:jc w:val="start"/>
        <w:rPr>
          <w:rFonts w:ascii="Courier;Courier New" w:hAnsi="Courier;Courier New" w:cs="Courier;Courier New"/>
          <w:lang w:val="en-US"/>
        </w:rPr>
      </w:pPr>
      <w:r>
        <w:rPr>
          <w:rFonts w:cs="Courier;Courier New" w:ascii="Courier;Courier New" w:hAnsi="Courier;Courier New"/>
          <w:lang w:val="en-US"/>
        </w:rPr>
        <w:tab/>
      </w:r>
      <w:r>
        <w:rPr>
          <w:rFonts w:cs="Courier;Courier New" w:ascii="Courier;Courier New" w:hAnsi="Courier;Courier New"/>
          <w:b/>
          <w:lang w:val="en-US"/>
        </w:rPr>
        <w:t>3</w:t>
      </w:r>
      <w:r>
        <w:rPr>
          <w:rFonts w:cs="Courier;Courier New" w:ascii="Courier;Courier New" w:hAnsi="Courier;Courier New"/>
          <w:lang w:val="en-US"/>
        </w:rPr>
        <w:t xml:space="preserve">. </w:t>
      </w:r>
      <w:r>
        <w:rPr>
          <w:rFonts w:cs="Courier;Courier New" w:ascii="Courier;Courier New" w:hAnsi="Courier;Courier New"/>
          <w:b/>
          <w:lang w:val="en-US"/>
        </w:rPr>
        <w:t>Section 3 Credit Support Facilities</w:t>
      </w:r>
    </w:p>
    <w:p>
      <w:pPr>
        <w:pStyle w:val="Footer"/>
        <w:tabs>
          <w:tab w:val="clear" w:pos="4252"/>
          <w:tab w:val="clear" w:pos="8504"/>
        </w:tabs>
        <w:rPr>
          <w:rFonts w:ascii="Courier;Courier New" w:hAnsi="Courier;Courier New" w:cs="Courier;Courier New"/>
          <w:lang w:val="en-US"/>
        </w:rPr>
      </w:pPr>
      <w:r>
        <w:rPr>
          <w:rFonts w:cs="Courier;Courier New" w:ascii="Courier;Courier New" w:hAnsi="Courier;Courier New"/>
          <w:lang w:val="en-US"/>
        </w:rPr>
      </w:r>
    </w:p>
    <w:p>
      <w:pPr>
        <w:pStyle w:val="BodyTextIndent"/>
        <w:ind w:firstLine="709" w:end="0"/>
        <w:rPr/>
      </w:pPr>
      <w:r>
        <w:rPr/>
        <w:t>Please be informed that there have been significant developments in the regulations governing the ability of Mexican banks to post collateral in the context of certain derivative transactions.</w:t>
      </w:r>
    </w:p>
    <w:p>
      <w:pPr>
        <w:pStyle w:val="BodyTextIndent"/>
        <w:rPr/>
      </w:pPr>
      <w:r>
        <w:rPr/>
      </w:r>
    </w:p>
    <w:p>
      <w:pPr>
        <w:pStyle w:val="BodyTextIndent"/>
        <w:ind w:firstLine="709" w:end="0"/>
        <w:rPr/>
      </w:pPr>
      <w:r>
        <w:rPr/>
        <w:t xml:space="preserve">As we have discussed in the Reply Memorandum, under Mexican banking law, Mexican banks are generally prohibited from pledging their assets as collateral.  Banco de Mexico, through general rules, may authorize exceptions to this general prohibition. </w:t>
      </w:r>
    </w:p>
    <w:p>
      <w:pPr>
        <w:pStyle w:val="Normal"/>
        <w:rPr>
          <w:lang w:val="en-US"/>
        </w:rPr>
      </w:pPr>
      <w:r>
        <w:rPr>
          <w:lang w:val="en-US"/>
        </w:rPr>
      </w:r>
    </w:p>
    <w:p>
      <w:pPr>
        <w:pStyle w:val="Normal"/>
        <w:jc w:val="start"/>
        <w:rPr/>
      </w:pPr>
      <w:r>
        <w:rPr>
          <w:lang w:val="en-US"/>
        </w:rPr>
        <w:tab/>
        <w:t xml:space="preserve">As you know, the regulations of Banco de México on the activities of Mexican commercial banks are codified in Circular 2019/95 (the full text in Spanish of the Circular can be consulted in </w:t>
      </w:r>
      <w:hyperlink r:id="rId2">
        <w:r>
          <w:rPr>
            <w:rStyle w:val="Hyperlink"/>
            <w:lang w:val="en-US"/>
          </w:rPr>
          <w:t>www.banxico.org.mx</w:t>
        </w:r>
      </w:hyperlink>
      <w:r>
        <w:rPr>
          <w:lang w:val="en-US"/>
        </w:rPr>
        <w:t xml:space="preserve">). On December 14, 1998, Banco de Mexico issued rule </w:t>
      </w:r>
      <w:r>
        <w:rPr>
          <w:lang w:val="en-US" w:eastAsia="es-ES"/>
        </w:rPr>
        <w:t xml:space="preserve">57/98 amending Circular 2019/95 providing certain exceptions to the prohibition to pledge assets. </w:t>
      </w:r>
    </w:p>
    <w:p>
      <w:pPr>
        <w:pStyle w:val="Normal"/>
        <w:rPr>
          <w:lang w:val="en-US" w:eastAsia="es-ES"/>
        </w:rPr>
      </w:pPr>
      <w:r>
        <w:rPr>
          <w:lang w:val="en-US" w:eastAsia="es-ES"/>
        </w:rPr>
      </w:r>
    </w:p>
    <w:p>
      <w:pPr>
        <w:pStyle w:val="Sangra3detindependiente"/>
        <w:jc w:val="start"/>
        <w:rPr/>
      </w:pPr>
      <w:r>
        <w:rPr/>
        <w:t>Pursuant to this amendment, a Mexican bank may grant as collateral securities and other assets owned by it to guarantee the performance of its obligations in respect of over-the-counter derivative transactions entered into between such Mexican banks and certain qualifying foreign financial entities.</w:t>
      </w:r>
    </w:p>
    <w:p>
      <w:pPr>
        <w:pStyle w:val="Normal"/>
        <w:ind w:firstLine="1416" w:end="0"/>
        <w:rPr>
          <w:lang w:val="en-US"/>
        </w:rPr>
      </w:pPr>
      <w:r>
        <w:rPr>
          <w:lang w:val="en-US"/>
        </w:rPr>
      </w:r>
    </w:p>
    <w:p>
      <w:pPr>
        <w:pStyle w:val="Sangra3detindependiente"/>
        <w:jc w:val="start"/>
        <w:rPr/>
      </w:pPr>
      <w:r>
        <w:rPr/>
        <w:t>In order for a transaction to qualify for this exception the foreign financial entity that is the counterparty of the Mexican bank must be rated, at least, “P-1” by Moody’s Investor Services or “A-1” by Standard &amp; Poor’s.</w:t>
      </w:r>
    </w:p>
    <w:p>
      <w:pPr>
        <w:pStyle w:val="Normal"/>
        <w:ind w:firstLine="1416" w:end="0"/>
        <w:rPr>
          <w:lang w:val="en-US"/>
        </w:rPr>
      </w:pPr>
      <w:r>
        <w:rPr>
          <w:lang w:val="en-US"/>
        </w:rPr>
      </w:r>
    </w:p>
    <w:p>
      <w:pPr>
        <w:pStyle w:val="Sangra2detindependiente"/>
        <w:ind w:firstLine="709" w:end="0"/>
        <w:jc w:val="start"/>
        <w:rPr/>
      </w:pPr>
      <w:r>
        <w:rPr/>
        <w:t>This narrow criteria may pose difficulties in such cases where the trade counterpart is a special purpose vehicle that enjoys the credit support of a parent company that complies with the necessary credit rating.  The rule assumes that the rated entity is the direct counterparty of the Mexican bank.</w:t>
      </w:r>
    </w:p>
    <w:p>
      <w:pPr>
        <w:pStyle w:val="BodyTextIndent"/>
        <w:rPr/>
      </w:pPr>
      <w:r>
        <w:rPr/>
      </w:r>
    </w:p>
    <w:p>
      <w:pPr>
        <w:pStyle w:val="BodyTextIndent"/>
        <w:ind w:firstLine="709" w:end="0"/>
        <w:rPr/>
      </w:pPr>
      <w:r>
        <w:rPr/>
        <w:t>The relevant derivative transaction must be documented by the International Foreign Exchange Master Agreement or other agreements approved by the International Swaps and Derivatives Association, Inc, or by any other standard agreement authorized by Banco de México.</w:t>
      </w:r>
    </w:p>
    <w:p>
      <w:pPr>
        <w:pStyle w:val="BodyTextIndent"/>
        <w:rPr/>
      </w:pPr>
      <w:r>
        <w:rPr/>
      </w:r>
    </w:p>
    <w:p>
      <w:pPr>
        <w:pStyle w:val="BodyTextIndent"/>
        <w:ind w:firstLine="709" w:end="0"/>
        <w:rPr/>
      </w:pPr>
      <w:r>
        <w:rPr/>
        <w:t>Please note that other master agreements (such as the ones used for repurchase agreements) are currently not covered by this exception.  As a result, subsequent ruling from Banco de México will be required to expand the application of this exception to those agreements.</w:t>
      </w:r>
    </w:p>
    <w:p>
      <w:pPr>
        <w:pStyle w:val="BodyTextIndent"/>
        <w:rPr/>
      </w:pPr>
      <w:r>
        <w:rPr/>
      </w:r>
    </w:p>
    <w:p>
      <w:pPr>
        <w:pStyle w:val="BodyTextIndent"/>
        <w:ind w:firstLine="709" w:end="0"/>
        <w:rPr/>
      </w:pPr>
      <w:r>
        <w:rPr/>
        <w:t>In our view, because Circular 2019/95 is only addressed to Mexican commercial banks (</w:t>
      </w:r>
      <w:r>
        <w:rPr>
          <w:i/>
        </w:rPr>
        <w:t>instituciones de banca múltiple</w:t>
      </w:r>
      <w:r>
        <w:rPr/>
        <w:t>) and not credit institutions in general (which would include development banks) this exception does not benefit Nacional Financiera, S.N.C. (NAFIN), Banco Nacional de Comercio Exterior, S.N.C. (BANCOMEXT) or Banco Nacional de Obras y Servicios Publcios S.N.C. (BANOBRAS).</w:t>
      </w:r>
    </w:p>
    <w:p>
      <w:pPr>
        <w:pStyle w:val="Normal"/>
        <w:ind w:firstLine="1416" w:end="0"/>
        <w:rPr>
          <w:lang w:val="en-US"/>
        </w:rPr>
      </w:pPr>
      <w:r>
        <w:rPr>
          <w:lang w:val="en-US"/>
        </w:rPr>
      </w:r>
    </w:p>
    <w:p>
      <w:pPr>
        <w:pStyle w:val="Normal"/>
        <w:ind w:firstLine="1416" w:end="0"/>
        <w:rPr>
          <w:lang w:val="en-US"/>
        </w:rPr>
      </w:pPr>
      <w:r>
        <w:rPr>
          <w:lang w:val="en-US"/>
        </w:rPr>
      </w:r>
    </w:p>
    <w:p>
      <w:pPr>
        <w:pStyle w:val="Normal"/>
        <w:ind w:firstLine="709" w:end="0"/>
        <w:rPr>
          <w:lang w:val="en-US"/>
        </w:rPr>
      </w:pPr>
      <w:r>
        <w:rPr>
          <w:b/>
          <w:lang w:val="en-US"/>
        </w:rPr>
        <w:t>4. Section 12 Taxation</w:t>
      </w:r>
    </w:p>
    <w:p>
      <w:pPr>
        <w:pStyle w:val="Normal"/>
        <w:ind w:firstLine="709" w:end="0"/>
        <w:rPr>
          <w:lang w:val="en-US"/>
        </w:rPr>
      </w:pPr>
      <w:r>
        <w:rPr>
          <w:lang w:val="en-US"/>
        </w:rPr>
      </w:r>
    </w:p>
    <w:p>
      <w:pPr>
        <w:pStyle w:val="Normal"/>
        <w:ind w:firstLine="709" w:end="0"/>
        <w:rPr>
          <w:lang w:val="en-US"/>
        </w:rPr>
      </w:pPr>
      <w:r>
        <w:rPr>
          <w:lang w:val="en-US"/>
        </w:rPr>
        <w:t xml:space="preserve">Please note that Mexico has entered into treaties to avoid double taxation with Belgium, Canada, Korea, Denmark, France, Germany, Indonesia, Italy, Japan, Norway, Netherlands, United States, United Kingdom, Singapore, Spain, Sweden and Switzerland. </w:t>
      </w:r>
    </w:p>
    <w:p>
      <w:pPr>
        <w:pStyle w:val="Normal"/>
        <w:ind w:firstLine="709" w:end="0"/>
        <w:rPr>
          <w:lang w:val="en-US"/>
        </w:rPr>
      </w:pPr>
      <w:r>
        <w:rPr>
          <w:lang w:val="en-US"/>
        </w:rPr>
      </w:r>
    </w:p>
    <w:p>
      <w:pPr>
        <w:pStyle w:val="Normal"/>
        <w:ind w:firstLine="709" w:end="0"/>
        <w:rPr>
          <w:lang w:val="en-US"/>
        </w:rPr>
      </w:pPr>
      <w:r>
        <w:rPr>
          <w:lang w:val="en-US"/>
        </w:rPr>
      </w:r>
    </w:p>
    <w:p>
      <w:pPr>
        <w:pStyle w:val="Normal"/>
        <w:ind w:firstLine="709" w:end="0"/>
        <w:rPr>
          <w:lang w:val="en-US"/>
        </w:rPr>
      </w:pPr>
      <w:r>
        <w:rPr>
          <w:lang w:val="en-US"/>
        </w:rPr>
        <w:t xml:space="preserve">II. </w:t>
      </w:r>
      <w:r>
        <w:rPr>
          <w:u w:val="single"/>
          <w:lang w:val="en-US"/>
        </w:rPr>
        <w:t>Additional Questions</w:t>
      </w:r>
    </w:p>
    <w:p>
      <w:pPr>
        <w:pStyle w:val="Normal"/>
        <w:ind w:firstLine="709" w:end="0"/>
        <w:rPr>
          <w:lang w:val="en-US"/>
        </w:rPr>
      </w:pPr>
      <w:r>
        <w:rPr>
          <w:lang w:val="en-US"/>
        </w:rPr>
      </w:r>
    </w:p>
    <w:p>
      <w:pPr>
        <w:pStyle w:val="Normal"/>
        <w:jc w:val="start"/>
        <w:rPr>
          <w:lang w:val="en-US"/>
        </w:rPr>
      </w:pPr>
      <w:r>
        <w:rPr>
          <w:lang w:val="en-US"/>
        </w:rPr>
      </w:r>
    </w:p>
    <w:p>
      <w:pPr>
        <w:pStyle w:val="Normal"/>
        <w:jc w:val="start"/>
        <w:rPr/>
      </w:pPr>
      <w:r>
        <w:rPr>
          <w:lang w:val="en-US"/>
        </w:rPr>
        <w:tab/>
      </w:r>
      <w:r>
        <w:rPr>
          <w:b/>
          <w:lang w:val="en-US"/>
        </w:rPr>
        <w:t>1.  Have relevant regulators in your jurisdiction made any statements regarding marketing of or dealing in any of the following types of products through the internet or other electronic systems:</w:t>
      </w:r>
    </w:p>
    <w:p>
      <w:pPr>
        <w:pStyle w:val="Normal"/>
        <w:jc w:val="start"/>
        <w:rPr>
          <w:b/>
          <w:lang w:val="en-US"/>
        </w:rPr>
      </w:pPr>
      <w:r>
        <w:rPr>
          <w:b/>
          <w:lang w:val="en-US"/>
        </w:rPr>
      </w:r>
    </w:p>
    <w:p>
      <w:pPr>
        <w:pStyle w:val="Normal"/>
        <w:jc w:val="start"/>
        <w:rPr>
          <w:b/>
          <w:lang w:val="en-US"/>
        </w:rPr>
      </w:pPr>
      <w:r>
        <w:rPr>
          <w:b/>
          <w:lang w:val="en-US"/>
        </w:rPr>
        <w:tab/>
        <w:t>- Commodity transactions relating to oil, gas, electricity or other energy commodities, whether derivative transactions (cash settled) or physically settled.</w:t>
      </w:r>
    </w:p>
    <w:p>
      <w:pPr>
        <w:pStyle w:val="Normal"/>
        <w:jc w:val="start"/>
        <w:rPr>
          <w:b/>
          <w:lang w:val="en-US"/>
        </w:rPr>
      </w:pPr>
      <w:r>
        <w:rPr>
          <w:b/>
          <w:lang w:val="en-US"/>
        </w:rPr>
      </w:r>
    </w:p>
    <w:p>
      <w:pPr>
        <w:pStyle w:val="Normal"/>
        <w:jc w:val="start"/>
        <w:rPr>
          <w:b/>
          <w:lang w:val="en-US"/>
        </w:rPr>
      </w:pPr>
      <w:r>
        <w:rPr>
          <w:b/>
          <w:lang w:val="en-US"/>
        </w:rPr>
        <w:tab/>
        <w:t>- Financial Derivatives i.e interest rate or foreign exchange derivatives.</w:t>
      </w:r>
    </w:p>
    <w:p>
      <w:pPr>
        <w:pStyle w:val="Normal"/>
        <w:jc w:val="start"/>
        <w:rPr>
          <w:b/>
          <w:lang w:val="en-US"/>
        </w:rPr>
      </w:pPr>
      <w:r>
        <w:rPr>
          <w:b/>
          <w:lang w:val="en-US"/>
        </w:rPr>
      </w:r>
    </w:p>
    <w:p>
      <w:pPr>
        <w:pStyle w:val="Normal"/>
        <w:jc w:val="start"/>
        <w:rPr>
          <w:b/>
          <w:lang w:val="en-US"/>
        </w:rPr>
      </w:pPr>
      <w:r>
        <w:rPr>
          <w:b/>
          <w:lang w:val="en-US"/>
        </w:rPr>
        <w:tab/>
        <w:t>If so, please could you provide us with a brief summary.</w:t>
      </w:r>
    </w:p>
    <w:p>
      <w:pPr>
        <w:pStyle w:val="Normal"/>
        <w:jc w:val="start"/>
        <w:rPr>
          <w:b/>
          <w:lang w:val="en-US"/>
        </w:rPr>
      </w:pPr>
      <w:r>
        <w:rPr>
          <w:b/>
          <w:lang w:val="en-US"/>
        </w:rPr>
      </w:r>
    </w:p>
    <w:p>
      <w:pPr>
        <w:pStyle w:val="Normal"/>
        <w:ind w:firstLine="708" w:end="0"/>
        <w:jc w:val="start"/>
        <w:rPr>
          <w:lang w:val="en-US"/>
        </w:rPr>
      </w:pPr>
      <w:r>
        <w:rPr>
          <w:lang w:val="en-US"/>
        </w:rPr>
        <w:t xml:space="preserve">There are no specific laws or regulations in Mexico governing on-line trading, nor dealings made via Internet.  Securities regulators have expressed that they are considering establishing specific regulations.  </w:t>
      </w:r>
    </w:p>
    <w:p>
      <w:pPr>
        <w:pStyle w:val="Normal"/>
        <w:ind w:firstLine="708" w:end="0"/>
        <w:jc w:val="start"/>
        <w:rPr>
          <w:lang w:val="en-US"/>
        </w:rPr>
      </w:pPr>
      <w:r>
        <w:rPr>
          <w:lang w:val="en-US"/>
        </w:rPr>
      </w:r>
    </w:p>
    <w:p>
      <w:pPr>
        <w:pStyle w:val="Normal"/>
        <w:ind w:firstLine="708" w:end="0"/>
        <w:jc w:val="start"/>
        <w:rPr>
          <w:lang w:val="en-US"/>
        </w:rPr>
      </w:pPr>
      <w:r>
        <w:rPr>
          <w:lang w:val="en-US"/>
        </w:rPr>
        <w:t xml:space="preserve">However, with respect to financial derivatives it is important to point out that that there are several limitations to the activities that foreign broker-dealers, or their representatives or any person acting on their behalf, can perform in Mexico.  Advertising of securities (including derivatives) by non-authorized persons, as well as indiscriminate offer to sell and making solicitations is not permitted.  Non-authorized persons (i.e any person other than Mexican financial institutions), may not sell securities within Mexico and non-registered securities may not be sold in Mexico.  Please refer to the relevant section of the Reply Memorandum.  </w:t>
      </w:r>
    </w:p>
    <w:p>
      <w:pPr>
        <w:pStyle w:val="Normal"/>
        <w:ind w:firstLine="708" w:end="0"/>
        <w:jc w:val="start"/>
        <w:rPr>
          <w:lang w:val="en-US"/>
        </w:rPr>
      </w:pPr>
      <w:r>
        <w:rPr>
          <w:lang w:val="en-US"/>
        </w:rPr>
      </w:r>
    </w:p>
    <w:p>
      <w:pPr>
        <w:pStyle w:val="Normal"/>
        <w:ind w:firstLine="708" w:end="0"/>
        <w:jc w:val="start"/>
        <w:rPr>
          <w:lang w:val="en-US"/>
        </w:rPr>
      </w:pPr>
      <w:r>
        <w:rPr>
          <w:lang w:val="en-US"/>
        </w:rPr>
        <w:t>Also, please note that as described in the Reply Memorandum there are limitations to trading with oil, electricity and gas in Mexico.</w:t>
      </w:r>
    </w:p>
    <w:p>
      <w:pPr>
        <w:pStyle w:val="Normal"/>
        <w:jc w:val="start"/>
        <w:rPr>
          <w:lang w:val="en-US"/>
        </w:rPr>
      </w:pPr>
      <w:r>
        <w:rPr>
          <w:lang w:val="en-US"/>
        </w:rPr>
      </w:r>
    </w:p>
    <w:p>
      <w:pPr>
        <w:pStyle w:val="BodyText"/>
        <w:rPr>
          <w:lang w:val="en-US"/>
        </w:rPr>
      </w:pPr>
      <w:r>
        <w:rPr>
          <w:lang w:val="en-US"/>
        </w:rPr>
      </w:r>
    </w:p>
    <w:p>
      <w:pPr>
        <w:pStyle w:val="Header"/>
        <w:tabs>
          <w:tab w:val="clear" w:pos="4252"/>
          <w:tab w:val="clear" w:pos="8504"/>
        </w:tabs>
        <w:rPr/>
      </w:pPr>
      <w:r>
        <w:rPr>
          <w:lang w:val="en-US"/>
        </w:rPr>
        <w:tab/>
      </w:r>
      <w:r>
        <w:rPr>
          <w:b/>
          <w:lang w:val="en-US"/>
        </w:rPr>
        <w:t>2. Do any specific laws or regulations exist in your jurisdiction which would prevent or in any way impact upon marketing or trading of any of the products set out in question 1 above through the internet? In answering this question please address issues relating to contractual formation and enforceability of contracts entered into via the Internet.  In particular, if a transaction entered into via Internet is enforceable under U.S. or U.K. law and the transactions contain a choice of such law, will such transactions, including the choice of law, be enforceable in Mexico?</w:t>
      </w:r>
    </w:p>
    <w:p>
      <w:pPr>
        <w:pStyle w:val="Header"/>
        <w:tabs>
          <w:tab w:val="clear" w:pos="4252"/>
          <w:tab w:val="clear" w:pos="8504"/>
        </w:tabs>
        <w:rPr>
          <w:b/>
          <w:lang w:val="en-US"/>
        </w:rPr>
      </w:pPr>
      <w:r>
        <w:rPr>
          <w:b/>
          <w:lang w:val="en-US"/>
        </w:rPr>
      </w:r>
    </w:p>
    <w:p>
      <w:pPr>
        <w:pStyle w:val="Normal"/>
        <w:ind w:firstLine="708" w:end="0"/>
        <w:jc w:val="start"/>
        <w:rPr>
          <w:lang w:val="en-US"/>
        </w:rPr>
      </w:pPr>
      <w:r>
        <w:rPr>
          <w:lang w:val="en-US"/>
        </w:rPr>
        <w:t>Although there are no specific rule governing Internet trading, the Securities Market Law and the Banking Law provide that Mexican broker dealers or banks and their clients may agree to use computers or other electronic or telecommunication means to deliver trade instructions or confirmations.  For such purposes broker dealers or banks must establish procedures for the use of identification codes and the responsibility for their use.  The Law and applicable regulations require that a confirmation in writing must be issued.  All the above described provisions should be included in an agreement in order that the relevant transaction may be enforceable.  The obligation of the Mexican broker or bank to effect a transaction will be effective as of the moment it receives the relevant instruction in accordance with the terms of the relevant agreement.</w:t>
      </w:r>
    </w:p>
    <w:p>
      <w:pPr>
        <w:pStyle w:val="Normal"/>
        <w:ind w:firstLine="708" w:end="0"/>
        <w:jc w:val="start"/>
        <w:rPr>
          <w:lang w:val="en-US"/>
        </w:rPr>
      </w:pPr>
      <w:r>
        <w:rPr>
          <w:lang w:val="en-US"/>
        </w:rPr>
      </w:r>
    </w:p>
    <w:p>
      <w:pPr>
        <w:pStyle w:val="Normal"/>
        <w:ind w:firstLine="708" w:end="0"/>
        <w:jc w:val="start"/>
        <w:rPr>
          <w:lang w:val="en-US"/>
        </w:rPr>
      </w:pPr>
      <w:r>
        <w:rPr>
          <w:lang w:val="en-US"/>
        </w:rPr>
        <w:t>Also, please note that under Mexican law, generally, only certain agreements must have a special form.  There are no limitations on contracting using electronic means.  However, it may difficult to prove that an agreement has been reached if no physical documents exist.</w:t>
      </w:r>
    </w:p>
    <w:p>
      <w:pPr>
        <w:pStyle w:val="Normal"/>
        <w:ind w:firstLine="708" w:end="0"/>
        <w:jc w:val="start"/>
        <w:rPr>
          <w:lang w:val="en-US"/>
        </w:rPr>
      </w:pPr>
      <w:r>
        <w:rPr>
          <w:lang w:val="en-US"/>
        </w:rPr>
      </w:r>
    </w:p>
    <w:p>
      <w:pPr>
        <w:pStyle w:val="Normal"/>
        <w:ind w:firstLine="708" w:end="0"/>
        <w:rPr/>
      </w:pPr>
      <w:r>
        <w:rPr>
          <w:lang w:val="en-US"/>
        </w:rPr>
        <w:t xml:space="preserve">Finally, </w:t>
      </w:r>
      <w:r>
        <w:rPr>
          <w:lang w:val="en-GB"/>
        </w:rPr>
        <w:t>the general principle of conflicts of laws is that parties may elect non-Mexican law as the governing law of their relationships; however, a choice of foreign law may not be valid if it is selected to avoid the application of Mexican principles of public policy or if it is selected for fraudulent purposes.</w:t>
      </w:r>
    </w:p>
    <w:p>
      <w:pPr>
        <w:pStyle w:val="Normal"/>
        <w:ind w:start="851" w:end="0"/>
        <w:rPr>
          <w:lang w:val="en-GB"/>
        </w:rPr>
      </w:pPr>
      <w:r>
        <w:rPr>
          <w:lang w:val="en-GB"/>
        </w:rPr>
      </w:r>
    </w:p>
    <w:p>
      <w:pPr>
        <w:pStyle w:val="Normal"/>
        <w:ind w:firstLine="708" w:end="0"/>
        <w:rPr>
          <w:lang w:val="en-GB"/>
        </w:rPr>
      </w:pPr>
      <w:r>
        <w:rPr>
          <w:lang w:val="en-GB"/>
        </w:rPr>
        <w:t>Another general principle of Mexican conflicts of laws is that Mexican law will recognise legal situations validly created either in the states which comprise the Mexican republic or in any foreign state in accordance with the respective laws thereof, provided that no Mexican principles of public policy are violated.</w:t>
      </w:r>
    </w:p>
    <w:p>
      <w:pPr>
        <w:pStyle w:val="Normal"/>
        <w:ind w:firstLine="708" w:end="0"/>
        <w:jc w:val="start"/>
        <w:rPr>
          <w:lang w:val="en-US"/>
        </w:rPr>
      </w:pPr>
      <w:r>
        <w:rPr>
          <w:lang w:val="en-US"/>
        </w:rPr>
      </w:r>
    </w:p>
    <w:p>
      <w:pPr>
        <w:pStyle w:val="Textoindependiente2"/>
        <w:rPr/>
      </w:pPr>
      <w:r>
        <w:rPr/>
        <w:tab/>
        <w:t>3.  If the answer to either of question 1 or 2 is yes, please indicate whether the impact of any relevant statements, laws or regulations will differ depending upon whether (a) the relevant Internet site is maintained in your jurisdiction or elsewhere; or (b) the party effecting the marketing/trading through the Internet is locally.</w:t>
      </w:r>
    </w:p>
    <w:p>
      <w:pPr>
        <w:pStyle w:val="Normal"/>
        <w:jc w:val="start"/>
        <w:rPr>
          <w:lang w:val="en-US"/>
        </w:rPr>
      </w:pPr>
      <w:r>
        <w:rPr>
          <w:lang w:val="en-US"/>
        </w:rPr>
      </w:r>
    </w:p>
    <w:p>
      <w:pPr>
        <w:pStyle w:val="Normal"/>
        <w:jc w:val="start"/>
        <w:rPr>
          <w:lang w:val="en-US"/>
        </w:rPr>
      </w:pPr>
      <w:r>
        <w:rPr>
          <w:lang w:val="en-US"/>
        </w:rPr>
        <w:tab/>
        <w:t>It is not clear under Mexican law if on-line trading would be considered to be effected in Mexico if the relevant Internet site is located outside Mexico, but it is possible, when dealing with regulated products (i.e. financial derivatives), that the regulators would consider that intermediation activities are being performed by an non-authorized person because the computers of the clients would be physically in Mexico.</w:t>
      </w:r>
    </w:p>
    <w:p>
      <w:pPr>
        <w:pStyle w:val="Normal"/>
        <w:jc w:val="start"/>
        <w:rPr>
          <w:lang w:val="en-US"/>
        </w:rPr>
      </w:pPr>
      <w:r>
        <w:rPr>
          <w:lang w:val="en-US"/>
        </w:rPr>
      </w:r>
    </w:p>
    <w:p>
      <w:pPr>
        <w:pStyle w:val="Normal"/>
        <w:jc w:val="start"/>
        <w:rPr>
          <w:lang w:val="en-US"/>
        </w:rPr>
      </w:pPr>
      <w:r>
        <w:rPr>
          <w:lang w:val="en-US"/>
        </w:rPr>
        <w:tab/>
      </w:r>
      <w:r>
        <w:rPr>
          <w:b/>
          <w:lang w:val="en-US"/>
        </w:rPr>
        <w:t>4.  Please confirm that by marketing to or trading with counterparts in your jurisdiction via the Internet local regulatory bodies/local laws or regulations will not consider the party maintaining the relevant website to have established a physical establishment/branch in your jurisdiction.</w:t>
      </w:r>
    </w:p>
    <w:p>
      <w:pPr>
        <w:pStyle w:val="Normal"/>
        <w:jc w:val="start"/>
        <w:rPr>
          <w:lang w:val="en-US"/>
        </w:rPr>
      </w:pPr>
      <w:r>
        <w:rPr>
          <w:lang w:val="en-US"/>
        </w:rPr>
      </w:r>
    </w:p>
    <w:p>
      <w:pPr>
        <w:pStyle w:val="Normal"/>
        <w:jc w:val="start"/>
        <w:rPr>
          <w:lang w:val="en-US"/>
        </w:rPr>
      </w:pPr>
      <w:r>
        <w:rPr>
          <w:lang w:val="en-US"/>
        </w:rPr>
        <w:tab/>
        <w:t>Under current applicable law marketing to or trading with counterparts in Mexico via Internet would not be considered as having established a physical establishment or branch in Mexico.  However, as explained before it may be considered as performing non authorized activities in Mexico.</w:t>
      </w:r>
    </w:p>
    <w:p>
      <w:pPr>
        <w:pStyle w:val="Normal"/>
        <w:jc w:val="start"/>
        <w:rPr>
          <w:lang w:val="en-US"/>
        </w:rPr>
      </w:pPr>
      <w:r>
        <w:rPr>
          <w:lang w:val="en-US"/>
        </w:rPr>
      </w:r>
    </w:p>
    <w:p>
      <w:pPr>
        <w:pStyle w:val="Normal"/>
        <w:jc w:val="start"/>
        <w:rPr>
          <w:lang w:val="en-US"/>
        </w:rPr>
      </w:pPr>
      <w:r>
        <w:rPr>
          <w:lang w:val="en-US"/>
        </w:rPr>
        <w:tab/>
        <w:t>Should you require any further assistance, please do not hesitate to contact us.</w:t>
      </w:r>
    </w:p>
    <w:p>
      <w:pPr>
        <w:pStyle w:val="Normal"/>
        <w:jc w:val="start"/>
        <w:rPr>
          <w:lang w:val="en-US"/>
        </w:rPr>
      </w:pPr>
      <w:r>
        <w:rPr>
          <w:lang w:val="en-US"/>
        </w:rPr>
      </w:r>
    </w:p>
    <w:p>
      <w:pPr>
        <w:pStyle w:val="Normal"/>
        <w:jc w:val="center"/>
        <w:rPr>
          <w:lang w:val="en-US"/>
        </w:rPr>
      </w:pPr>
      <w:r>
        <w:rPr>
          <w:lang w:val="en-US"/>
        </w:rPr>
        <w:t>Best regards</w:t>
      </w:r>
    </w:p>
    <w:p>
      <w:pPr>
        <w:pStyle w:val="Normal"/>
        <w:jc w:val="center"/>
        <w:rPr>
          <w:lang w:val="en-US"/>
        </w:rPr>
      </w:pPr>
      <w:r>
        <w:rPr>
          <w:lang w:val="en-US"/>
        </w:rPr>
      </w:r>
    </w:p>
    <w:p>
      <w:pPr>
        <w:pStyle w:val="Normal"/>
        <w:jc w:val="center"/>
        <w:rPr>
          <w:lang w:val="en-US"/>
        </w:rPr>
      </w:pPr>
      <w:r>
        <w:rPr>
          <w:lang w:val="en-US"/>
        </w:rPr>
      </w:r>
    </w:p>
    <w:p>
      <w:pPr>
        <w:pStyle w:val="Normal"/>
        <w:jc w:val="center"/>
        <w:rPr>
          <w:b/>
          <w:lang w:val="en-US"/>
        </w:rPr>
      </w:pPr>
      <w:r>
        <w:rPr>
          <w:lang w:val="en-US"/>
        </w:rPr>
        <w:t>Pablo Perezalonso</w:t>
      </w:r>
    </w:p>
    <w:p>
      <w:pPr>
        <w:pStyle w:val="Normal"/>
        <w:jc w:val="start"/>
        <w:rPr>
          <w:b/>
          <w:lang w:val="en-US"/>
        </w:rPr>
      </w:pPr>
      <w:r>
        <w:rPr>
          <w:b/>
          <w:lang w:val="en-US"/>
        </w:rPr>
      </w:r>
    </w:p>
    <w:p>
      <w:pPr>
        <w:pStyle w:val="Normal"/>
        <w:jc w:val="start"/>
        <w:rPr>
          <w:lang w:val="en-US"/>
        </w:rPr>
      </w:pPr>
      <w:r>
        <w:rPr>
          <w:lang w:val="en-US"/>
        </w:rPr>
      </w:r>
    </w:p>
    <w:p>
      <w:pPr>
        <w:pStyle w:val="Header"/>
        <w:tabs>
          <w:tab w:val="clear" w:pos="4252"/>
          <w:tab w:val="clear" w:pos="8504"/>
        </w:tabs>
        <w:rPr>
          <w:lang w:val="en-US"/>
        </w:rPr>
      </w:pPr>
      <w:r>
        <w:rPr>
          <w:lang w:val="en-US"/>
        </w:rPr>
        <w:t>Cc: José Raz-Guzmán</w:t>
      </w:r>
    </w:p>
    <w:sectPr>
      <w:headerReference w:type="default" r:id="rId3"/>
      <w:headerReference w:type="first" r:id="rId4"/>
      <w:footerReference w:type="default" r:id="rId5"/>
      <w:footerReference w:type="first" r:id="rId6"/>
      <w:type w:val="nextPage"/>
      <w:pgSz w:w="12240" w:h="15840"/>
      <w:pgMar w:left="1418" w:right="1418" w:gutter="0" w:header="1418" w:top="1985" w:footer="68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4" w:type="dxa"/>
      <w:jc w:val="start"/>
      <w:tblInd w:w="0" w:type="dxa"/>
      <w:tblLayout w:type="fixed"/>
      <w:tblCellMar>
        <w:top w:w="0" w:type="dxa"/>
        <w:start w:w="70" w:type="dxa"/>
        <w:bottom w:w="0" w:type="dxa"/>
        <w:end w:w="70" w:type="dxa"/>
      </w:tblCellMar>
    </w:tblPr>
    <w:tblGrid>
      <w:gridCol w:w="4772"/>
      <w:gridCol w:w="4772"/>
    </w:tblGrid>
    <w:tr>
      <w:trPr/>
      <w:tc>
        <w:tcPr>
          <w:tcW w:w="4772" w:type="dxa"/>
          <w:tcBorders/>
        </w:tcPr>
        <w:p>
          <w:pPr>
            <w:pStyle w:val="Footer"/>
            <w:snapToGrid w:val="false"/>
            <w:rPr/>
          </w:pPr>
          <w:r>
            <w:rPr/>
          </w:r>
        </w:p>
      </w:tc>
      <w:tc>
        <w:tcPr>
          <w:tcW w:w="4772" w:type="dxa"/>
          <w:tcBorders/>
        </w:tcPr>
        <w:p>
          <w:pPr>
            <w:pStyle w:val="Footer"/>
            <w:jc w:val="end"/>
            <w:rPr>
              <w:sz w:val="16"/>
            </w:rPr>
          </w:pPr>
          <w:r>
            <w:rPr>
              <w:sz w:val="16"/>
            </w:rPr>
            <w:t>8049v1 05-11-99</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4" w:type="dxa"/>
      <w:jc w:val="start"/>
      <w:tblInd w:w="0" w:type="dxa"/>
      <w:tblLayout w:type="fixed"/>
      <w:tblCellMar>
        <w:top w:w="0" w:type="dxa"/>
        <w:start w:w="70" w:type="dxa"/>
        <w:bottom w:w="0" w:type="dxa"/>
        <w:end w:w="70" w:type="dxa"/>
      </w:tblCellMar>
    </w:tblPr>
    <w:tblGrid>
      <w:gridCol w:w="4772"/>
      <w:gridCol w:w="4772"/>
    </w:tblGrid>
    <w:tr>
      <w:trPr/>
      <w:tc>
        <w:tcPr>
          <w:tcW w:w="4772" w:type="dxa"/>
          <w:tcBorders/>
        </w:tcPr>
        <w:p>
          <w:pPr>
            <w:pStyle w:val="Footer"/>
            <w:snapToGrid w:val="false"/>
            <w:rPr/>
          </w:pPr>
          <w:r>
            <w:rPr/>
          </w:r>
        </w:p>
      </w:tc>
      <w:tc>
        <w:tcPr>
          <w:tcW w:w="4772" w:type="dxa"/>
          <w:tcBorders/>
        </w:tcPr>
        <w:p>
          <w:pPr>
            <w:pStyle w:val="Footer"/>
            <w:jc w:val="end"/>
            <w:rPr>
              <w:sz w:val="16"/>
            </w:rPr>
          </w:pPr>
          <w:r>
            <w:rPr>
              <w:sz w:val="16"/>
            </w:rPr>
            <w:t>8049v1 05-11-99</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ourier New" w:hAnsi="Courier New" w:eastAsia="Times New Roman" w:cs="Courier New"/>
      <w:color w:val="auto"/>
      <w:sz w:val="24"/>
      <w:szCs w:val="20"/>
      <w:lang w:val="es-ES" w:eastAsia="zh-CN" w:bidi="hi-IN"/>
    </w:rPr>
  </w:style>
  <w:style w:type="paragraph" w:styleId="Heading1">
    <w:name w:val="heading 1"/>
    <w:basedOn w:val="Normal"/>
    <w:next w:val="Normal"/>
    <w:qFormat/>
    <w:pPr>
      <w:keepNext w:val="true"/>
      <w:numPr>
        <w:ilvl w:val="0"/>
        <w:numId w:val="1"/>
      </w:numPr>
      <w:jc w:val="center"/>
      <w:outlineLvl w:val="0"/>
    </w:pPr>
    <w:rPr>
      <w:u w:val="single"/>
      <w:lang w:val="en-US"/>
    </w:rPr>
  </w:style>
  <w:style w:type="character" w:styleId="Fuentedeprrafopredeter">
    <w:name w:val="Fuente de párrafo predeter."/>
    <w:qFormat/>
    <w:rPr/>
  </w:style>
  <w:style w:type="character" w:styleId="Hyperlink">
    <w:name w:val="Hyperlink"/>
    <w:basedOn w:val="Fuentedeprrafopredeter"/>
    <w:rPr>
      <w:color w:val="0000FF"/>
      <w:u w:val="single"/>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12"/>
    </w:pPr>
    <w:rPr>
      <w:rFonts w:ascii="Courier;Courier New" w:hAnsi="Courier;Courier New" w:cs="Courier;Courier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jc w:val="start"/>
    </w:pPr>
    <w:rPr/>
  </w:style>
  <w:style w:type="paragraph" w:styleId="BodyTextIndent">
    <w:name w:val="Body Text Indent"/>
    <w:basedOn w:val="Normal"/>
    <w:pPr>
      <w:ind w:firstLine="1416" w:start="0" w:end="0"/>
      <w:jc w:val="start"/>
    </w:pPr>
    <w:rPr>
      <w:lang w:val="en-US"/>
    </w:rPr>
  </w:style>
  <w:style w:type="paragraph" w:styleId="Sangra2detindependiente">
    <w:name w:val="Sangría 2 de t. independiente"/>
    <w:basedOn w:val="Normal"/>
    <w:qFormat/>
    <w:pPr>
      <w:ind w:firstLine="1440" w:start="0" w:end="0"/>
    </w:pPr>
    <w:rPr>
      <w:lang w:val="en-US"/>
    </w:rPr>
  </w:style>
  <w:style w:type="paragraph" w:styleId="Sangra3detindependiente">
    <w:name w:val="Sangría 3 de t. independiente"/>
    <w:basedOn w:val="Normal"/>
    <w:qFormat/>
    <w:pPr>
      <w:ind w:firstLine="709" w:start="0" w:end="0"/>
    </w:pPr>
    <w:rPr>
      <w:lang w:val="en-US"/>
    </w:rPr>
  </w:style>
  <w:style w:type="paragraph" w:styleId="Footer">
    <w:name w:val="footer"/>
    <w:basedOn w:val="Normal"/>
    <w:pPr>
      <w:tabs>
        <w:tab w:val="clear" w:pos="708"/>
        <w:tab w:val="center" w:pos="4252" w:leader="none"/>
        <w:tab w:val="right" w:pos="8504" w:leader="none"/>
      </w:tabs>
    </w:pPr>
    <w:rPr/>
  </w:style>
  <w:style w:type="paragraph" w:styleId="Textoindependiente2">
    <w:name w:val="Texto independiente 2"/>
    <w:basedOn w:val="Normal"/>
    <w:qFormat/>
    <w:pPr>
      <w:jc w:val="start"/>
    </w:pPr>
    <w:rPr>
      <w:b/>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252"/>
        <w:tab w:val="clear" w:pos="8504"/>
        <w:tab w:val="center" w:pos="4702" w:leader="none"/>
        <w:tab w:val="right" w:pos="94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nxico.org.mx/"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1999-11-05T21:28:00Z</dcterms:created>
  <dc:creator>Pablo Perezalonso</dc:creator>
  <dc:description/>
  <dc:language>en-CA</dc:language>
  <cp:lastModifiedBy>Pablo Perezalonso</cp:lastModifiedBy>
  <cp:lastPrinted>1999-11-05T20:37:00Z</cp:lastPrinted>
  <dcterms:modified xsi:type="dcterms:W3CDTF">1999-11-06T00:07:00Z</dcterms:modified>
  <cp:revision>8</cp:revision>
  <dc:subject/>
  <dc:title>November 8, 1999</dc:title>
</cp:coreProperties>
</file>