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szLargeText"/>
        <w:spacing w:before="120" w:after="0"/>
        <w:jc w:val="end"/>
        <w:rPr>
          <w:sz w:val="22"/>
        </w:rPr>
      </w:pPr>
      <w:r>
        <w:rPr>
          <w:b/>
          <w:sz w:val="22"/>
          <w:u w:val="single"/>
        </w:rPr>
        <w:t>Strictly Private &amp; Confidential</w:t>
      </w:r>
    </w:p>
    <w:p>
      <w:pPr>
        <w:pStyle w:val="Normal"/>
        <w:rPr>
          <w:sz w:val="22"/>
        </w:rPr>
      </w:pPr>
      <w:r>
        <w:rPr>
          <w:sz w:val="22"/>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b/>
          <w:sz w:val="36"/>
        </w:rPr>
      </w:pPr>
      <w:r>
        <w:rPr>
          <w:b/>
          <w:sz w:val="36"/>
        </w:rPr>
        <w:t>Enron Metals Limited</w:t>
      </w:r>
    </w:p>
    <w:p>
      <w:pPr>
        <w:pStyle w:val="sszLargeText"/>
        <w:rPr>
          <w:b/>
          <w:sz w:val="22"/>
        </w:rPr>
      </w:pPr>
      <w:r>
        <w:rPr>
          <w:b/>
          <w:sz w:val="22"/>
        </w:rPr>
      </w:r>
    </w:p>
    <w:p>
      <w:pPr>
        <w:pStyle w:val="Normal"/>
        <w:rPr>
          <w:sz w:val="22"/>
        </w:rPr>
      </w:pPr>
      <w:r>
        <w:rPr>
          <w:sz w:val="22"/>
        </w:rPr>
      </w:r>
    </w:p>
    <w:p>
      <w:pPr>
        <w:pStyle w:val="Normal"/>
        <w:rPr/>
      </w:pPr>
      <w:r>
        <w:rPr/>
      </w:r>
    </w:p>
    <w:p>
      <w:pPr>
        <w:pStyle w:val="Normal"/>
        <w:rPr/>
      </w:pPr>
      <w:r>
        <w:rPr/>
      </w:r>
    </w:p>
    <w:p>
      <w:pPr>
        <w:pStyle w:val="Normal"/>
        <w:rPr/>
      </w:pPr>
      <w:r>
        <w:rPr/>
      </w:r>
    </w:p>
    <w:p>
      <w:pPr>
        <w:pStyle w:val="Normal"/>
        <w:rPr/>
      </w:pPr>
      <w:r>
        <w:rPr/>
      </w:r>
    </w:p>
    <w:p>
      <w:pPr>
        <w:pStyle w:val="Normal"/>
        <w:spacing w:before="0" w:after="80"/>
        <w:jc w:val="center"/>
        <w:rPr>
          <w:b/>
          <w:sz w:val="70"/>
        </w:rPr>
      </w:pPr>
      <w:r>
        <w:rPr>
          <w:b/>
          <w:sz w:val="70"/>
        </w:rPr>
        <w:t>Additional Questions &amp;</w:t>
      </w:r>
    </w:p>
    <w:p>
      <w:pPr>
        <w:pStyle w:val="Normal"/>
        <w:spacing w:before="0" w:after="80"/>
        <w:jc w:val="center"/>
        <w:rPr>
          <w:b/>
          <w:sz w:val="70"/>
        </w:rPr>
      </w:pPr>
      <w:r>
        <w:rPr>
          <w:b/>
          <w:sz w:val="70"/>
        </w:rPr>
        <w:t>Answers on Marketing</w:t>
      </w:r>
    </w:p>
    <w:p>
      <w:pPr>
        <w:pStyle w:val="Normal"/>
        <w:spacing w:before="0" w:after="80"/>
        <w:jc w:val="center"/>
        <w:rPr>
          <w:b/>
          <w:sz w:val="70"/>
        </w:rPr>
      </w:pPr>
      <w:r>
        <w:rPr>
          <w:b/>
          <w:sz w:val="70"/>
        </w:rPr>
        <w:t>Foreign Futures &amp; Options</w:t>
      </w:r>
    </w:p>
    <w:p>
      <w:pPr>
        <w:pStyle w:val="Normal"/>
        <w:spacing w:before="0" w:after="80"/>
        <w:jc w:val="center"/>
        <w:rPr>
          <w:b/>
          <w:sz w:val="70"/>
        </w:rPr>
      </w:pPr>
      <w:r>
        <w:rPr>
          <w:b/>
          <w:sz w:val="70"/>
        </w:rPr>
        <w:t>Under</w:t>
      </w:r>
    </w:p>
    <w:p>
      <w:pPr>
        <w:pStyle w:val="Normal"/>
        <w:spacing w:before="0" w:after="80"/>
        <w:jc w:val="center"/>
        <w:rPr>
          <w:b/>
          <w:sz w:val="70"/>
        </w:rPr>
      </w:pPr>
      <w:r>
        <w:rPr>
          <w:b/>
          <w:sz w:val="70"/>
        </w:rPr>
        <w:t>CFTC Rules Part 30</w:t>
      </w:r>
    </w:p>
    <w:p>
      <w:pPr>
        <w:pStyle w:val="Normal"/>
        <w:jc w:val="center"/>
        <w:rPr>
          <w:b/>
          <w:sz w:val="70"/>
        </w:rPr>
      </w:pPr>
      <w:r>
        <w:rPr>
          <w:b/>
          <w:sz w:val="70"/>
        </w:rPr>
      </w:r>
    </w:p>
    <w:p>
      <w:pPr>
        <w:pStyle w:val="Normal"/>
        <w:jc w:val="center"/>
        <w:rPr>
          <w:b/>
          <w:sz w:val="36"/>
        </w:rPr>
      </w:pPr>
      <w:r>
        <w:rPr>
          <w:b/>
          <w:sz w:val="36"/>
        </w:rPr>
        <w:t>28 September 2000</w:t>
      </w:r>
    </w:p>
    <w:p>
      <w:pPr>
        <w:pStyle w:val="Normal"/>
        <w:rPr>
          <w:b/>
          <w:sz w:val="36"/>
        </w:rPr>
      </w:pPr>
      <w:r>
        <w:rPr>
          <w:b/>
          <w:sz w:val="36"/>
        </w:rPr>
      </w:r>
    </w:p>
    <w:p>
      <w:pPr>
        <w:pStyle w:val="Normal"/>
        <w:rPr/>
      </w:pPr>
      <w:r>
        <w:rPr/>
      </w:r>
    </w:p>
    <w:p>
      <w:pPr>
        <w:pStyle w:val="Normal"/>
        <w:rPr/>
      </w:pPr>
      <w:r>
        <w:rPr/>
      </w:r>
    </w:p>
    <w:p>
      <w:pPr>
        <w:pStyle w:val="Normal"/>
        <w:rPr/>
      </w:pPr>
      <w:r>
        <w:rPr/>
      </w:r>
      <w:r>
        <w:br w:type="page"/>
      </w:r>
    </w:p>
    <w:p>
      <w:pPr>
        <w:pStyle w:val="sszLargeText"/>
        <w:jc w:val="center"/>
        <w:rPr/>
      </w:pPr>
      <w:r>
        <w:rPr/>
        <w:t xml:space="preserve">Additional Questions &amp; Answers on Marketing </w:t>
      </w:r>
    </w:p>
    <w:p>
      <w:pPr>
        <w:pStyle w:val="sszLargeText"/>
        <w:jc w:val="center"/>
        <w:rPr/>
      </w:pPr>
      <w:r>
        <w:rPr/>
        <w:t xml:space="preserve">Foreign Futures &amp; Options Under </w:t>
      </w:r>
    </w:p>
    <w:p>
      <w:pPr>
        <w:pStyle w:val="sszLargeText"/>
        <w:jc w:val="center"/>
        <w:rPr/>
      </w:pPr>
      <w:r>
        <w:rPr/>
        <w:t>CFTC Rules Part 30</w:t>
      </w:r>
    </w:p>
    <w:p>
      <w:pPr>
        <w:pStyle w:val="ssPara1"/>
        <w:rPr/>
      </w:pPr>
      <w:r>
        <w:rPr/>
      </w:r>
    </w:p>
    <w:p>
      <w:pPr>
        <w:pStyle w:val="ssPara1"/>
        <w:jc w:val="center"/>
        <w:rPr>
          <w:b/>
        </w:rPr>
      </w:pPr>
      <w:r>
        <w:rPr>
          <w:b/>
        </w:rPr>
        <w:t>Simmons &amp; Simmons</w:t>
      </w:r>
    </w:p>
    <w:p>
      <w:pPr>
        <w:pStyle w:val="ssPara1"/>
        <w:jc w:val="center"/>
        <w:rPr>
          <w:b/>
        </w:rPr>
      </w:pPr>
      <w:r>
        <w:rPr>
          <w:b/>
        </w:rPr>
        <w:t>28 September 2000</w:t>
      </w:r>
    </w:p>
    <w:p>
      <w:pPr>
        <w:pStyle w:val="ssPara1"/>
        <w:rPr>
          <w:b/>
          <w:lang w:eastAsia="en-US"/>
        </w:rPr>
      </w:pPr>
      <w:r>
        <w:rPr>
          <w:b/>
          <w:lang w:eastAsia="en-US"/>
        </w:rPr>
      </w:r>
    </w:p>
    <w:p>
      <w:pPr>
        <w:pStyle w:val="Heading1"/>
        <w:numPr>
          <w:ilvl w:val="1"/>
          <w:numId w:val="4"/>
        </w:numPr>
        <w:ind w:hanging="0" w:start="0"/>
        <w:rPr>
          <w:lang w:eastAsia="en-US"/>
        </w:rPr>
      </w:pPr>
      <w:r>
        <w:rPr>
          <w:lang w:eastAsia="en-US"/>
        </w:rPr>
        <w:t>Executive Summary</w:t>
      </w:r>
    </w:p>
    <w:p>
      <w:pPr>
        <w:pStyle w:val="ssPara2"/>
        <w:spacing w:lineRule="auto" w:line="480"/>
        <w:rPr>
          <w:lang w:eastAsia="en-US"/>
        </w:rPr>
      </w:pPr>
      <w:r>
        <w:rPr>
          <w:lang w:eastAsia="en-US"/>
        </w:rPr>
        <w:t>This paper is in response to Justin Boyd’s e-mail of 25 September 2000. That posed 5 additional questions, following on from our paper to Enron Metals Limited (“Enron Metals”) of 19 September, “Marketing Foreign Futures &amp; Options Under CFTC Rules Part 30”, (“19 September Paper”).</w:t>
      </w:r>
    </w:p>
    <w:p>
      <w:pPr>
        <w:pStyle w:val="ssPara2"/>
        <w:spacing w:lineRule="auto" w:line="480"/>
        <w:rPr>
          <w:lang w:eastAsia="en-US"/>
        </w:rPr>
      </w:pPr>
      <w:r>
        <w:rPr>
          <w:lang w:eastAsia="en-US"/>
        </w:rPr>
        <w:t>A summary of the questions and our responses is as follows:</w:t>
      </w:r>
    </w:p>
    <w:p>
      <w:pPr>
        <w:pStyle w:val="ssPara2"/>
        <w:rPr/>
      </w:pPr>
      <w:r>
        <w:rPr>
          <w:b/>
          <w:lang w:eastAsia="en-US"/>
        </w:rPr>
        <w:t>Question 1</w:t>
      </w:r>
      <w:r>
        <w:rPr>
          <w:lang w:eastAsia="en-US"/>
        </w:rPr>
        <w:t>. Can Enron Metals market LME Contracts to the 40 or so existing US customers of MG London Inc. (as well as new US customers)?</w:t>
      </w:r>
    </w:p>
    <w:p>
      <w:pPr>
        <w:pStyle w:val="ssPara2"/>
        <w:rPr/>
      </w:pPr>
      <w:r>
        <w:rPr>
          <w:b/>
          <w:lang w:eastAsia="en-US"/>
        </w:rPr>
        <w:t>Answer:</w:t>
      </w:r>
      <w:r>
        <w:rPr>
          <w:lang w:eastAsia="en-US"/>
        </w:rPr>
        <w:t xml:space="preserve"> Yes. (See section 2.1 below.)</w:t>
      </w:r>
    </w:p>
    <w:p>
      <w:pPr>
        <w:pStyle w:val="ssPara2"/>
        <w:rPr/>
      </w:pPr>
      <w:r>
        <w:rPr>
          <w:b/>
          <w:lang w:eastAsia="en-US"/>
        </w:rPr>
        <w:t>Question 2.</w:t>
      </w:r>
      <w:r>
        <w:rPr>
          <w:lang w:eastAsia="en-US"/>
        </w:rPr>
        <w:t xml:space="preserve"> So far as marketing by Enron Metals Ltd is concerned, do all written marketing materials (e.g</w:t>
      </w:r>
      <w:r>
        <w:rPr>
          <w:i/>
          <w:lang w:eastAsia="en-US"/>
        </w:rPr>
        <w:t>.</w:t>
      </w:r>
      <w:r>
        <w:rPr>
          <w:lang w:eastAsia="en-US"/>
        </w:rPr>
        <w:t xml:space="preserve"> letters, faxes, brochures, fliers and mail-shots) need explicitly to be sent in the name of Enron Metals? Alternatively, is it possible for such materials to be sent under the cover of EnronOnline but with a footer appearing on such materials referring to Enron Metals (e.g. "Enron Metals Ltd is SFA registered")?</w:t>
      </w:r>
    </w:p>
    <w:p>
      <w:pPr>
        <w:pStyle w:val="ssPara2"/>
        <w:rPr>
          <w:b/>
          <w:lang w:eastAsia="en-US"/>
        </w:rPr>
      </w:pPr>
      <w:r>
        <w:rPr>
          <w:b/>
          <w:lang w:eastAsia="en-US"/>
        </w:rPr>
        <w:t>Answers:</w:t>
      </w:r>
    </w:p>
    <w:p>
      <w:pPr>
        <w:pStyle w:val="ssPara3"/>
        <w:rPr/>
      </w:pPr>
      <w:r>
        <w:rPr>
          <w:b/>
          <w:lang w:eastAsia="en-US"/>
        </w:rPr>
        <w:t>Part 1:</w:t>
      </w:r>
      <w:r>
        <w:rPr>
          <w:lang w:eastAsia="en-US"/>
        </w:rPr>
        <w:t xml:space="preserve"> Yes. All written marketing materials should come from Enron Metals. </w:t>
      </w:r>
    </w:p>
    <w:p>
      <w:pPr>
        <w:pStyle w:val="ssPara3"/>
        <w:rPr/>
      </w:pPr>
      <w:r>
        <w:rPr>
          <w:b/>
          <w:lang w:eastAsia="en-US"/>
        </w:rPr>
        <w:t>Part 2:</w:t>
      </w:r>
      <w:r>
        <w:rPr>
          <w:lang w:eastAsia="en-US"/>
        </w:rPr>
        <w:t xml:space="preserve"> No. EnronOnline must avoid appearing to be acting as an “introducing broker” (“IB”) (</w:t>
      </w:r>
      <w:r>
        <w:rPr>
          <w:i/>
          <w:lang w:eastAsia="en-US"/>
        </w:rPr>
        <w:t>i.e.</w:t>
      </w:r>
      <w:r>
        <w:rPr>
          <w:lang w:eastAsia="en-US"/>
        </w:rPr>
        <w:t xml:space="preserve"> a person soliciting business on behalf of Enron Metals) which would require CFTC registration. However, as explained below, other registered futures commission merchants (“FCMs”) or registered IBs could also market on behalf of Enron Metals. (See section 2.2 below.)</w:t>
      </w:r>
    </w:p>
    <w:p>
      <w:pPr>
        <w:pStyle w:val="ssPara2"/>
        <w:rPr/>
      </w:pPr>
      <w:r>
        <w:rPr>
          <w:b/>
          <w:lang w:eastAsia="en-US"/>
        </w:rPr>
        <w:t>Question 3</w:t>
      </w:r>
      <w:r>
        <w:rPr>
          <w:lang w:eastAsia="en-US"/>
        </w:rPr>
        <w:t>. In the context of marketing by Enron Metals, would any group relief be available, given that Enron Metals is part of the Enron group of companies of which EnronOnline forms part?</w:t>
      </w:r>
    </w:p>
    <w:p>
      <w:pPr>
        <w:pStyle w:val="ssPara2"/>
        <w:rPr/>
      </w:pPr>
      <w:r>
        <w:rPr>
          <w:b/>
          <w:lang w:eastAsia="en-US"/>
        </w:rPr>
        <w:t>Answer:</w:t>
      </w:r>
      <w:r>
        <w:rPr>
          <w:lang w:eastAsia="en-US"/>
        </w:rPr>
        <w:t xml:space="preserve"> No. Exemptive relief under rule 30.10 is only available to applicants without a fixed presence in the U.S. (See section 2.3 below.)</w:t>
      </w:r>
    </w:p>
    <w:p>
      <w:pPr>
        <w:pStyle w:val="ssPara2"/>
        <w:rPr/>
      </w:pPr>
      <w:r>
        <w:rPr>
          <w:b/>
          <w:lang w:eastAsia="en-US"/>
        </w:rPr>
        <w:t>Question 4.</w:t>
      </w:r>
      <w:r>
        <w:rPr>
          <w:lang w:eastAsia="en-US"/>
        </w:rPr>
        <w:t xml:space="preserve"> Can you confirm that Enron Metals is free to market LME contracts to new US, whether MG London Inc. do so as well?</w:t>
      </w:r>
    </w:p>
    <w:p>
      <w:pPr>
        <w:pStyle w:val="ssPara2"/>
        <w:rPr>
          <w:lang w:eastAsia="en-US"/>
        </w:rPr>
      </w:pPr>
      <w:r>
        <w:rPr>
          <w:b/>
          <w:lang w:eastAsia="en-US"/>
        </w:rPr>
        <w:t>Answer:</w:t>
      </w:r>
      <w:r>
        <w:rPr>
          <w:lang w:eastAsia="en-US"/>
        </w:rPr>
        <w:t xml:space="preserve"> Yes. See sections 3.2 (C) and (D) at pages 7-9 of our 19 September Paper.</w:t>
      </w:r>
      <w:r>
        <w:rPr>
          <w:rStyle w:val="FootnoteCharacters"/>
          <w:rStyle w:val="FootnoteReference"/>
          <w:lang w:eastAsia="en-US"/>
        </w:rPr>
        <w:footnoteReference w:id="2"/>
      </w:r>
    </w:p>
    <w:p>
      <w:pPr>
        <w:pStyle w:val="ssPara2"/>
        <w:rPr/>
      </w:pPr>
      <w:r>
        <w:rPr>
          <w:b/>
          <w:lang w:eastAsia="en-US"/>
        </w:rPr>
        <w:t>Question 5.</w:t>
      </w:r>
      <w:r>
        <w:rPr>
          <w:lang w:eastAsia="en-US"/>
        </w:rPr>
        <w:t xml:space="preserve"> In terms of marketing activities conducted by telephone or fax with US customers, can only employees of Enron Metals Ltd or MG London Inc. (as applicable) carry this out?</w:t>
      </w:r>
    </w:p>
    <w:p>
      <w:pPr>
        <w:pStyle w:val="ssPara2"/>
        <w:rPr/>
      </w:pPr>
      <w:r>
        <w:rPr>
          <w:b/>
          <w:lang w:eastAsia="en-US"/>
        </w:rPr>
        <w:t>Answer:</w:t>
      </w:r>
      <w:r>
        <w:rPr>
          <w:lang w:eastAsia="en-US"/>
        </w:rPr>
        <w:t xml:space="preserve"> Yes. But, as explained below, other </w:t>
      </w:r>
      <w:r>
        <w:rPr>
          <w:b/>
          <w:lang w:eastAsia="en-US"/>
        </w:rPr>
        <w:t>registered</w:t>
      </w:r>
      <w:r>
        <w:rPr>
          <w:lang w:eastAsia="en-US"/>
        </w:rPr>
        <w:t xml:space="preserve"> firms could also market on behalf of Enron Metals. (See section 2.2 below.)</w:t>
      </w:r>
    </w:p>
    <w:p>
      <w:pPr>
        <w:pStyle w:val="ssPara2"/>
        <w:rPr>
          <w:lang w:eastAsia="en-US"/>
        </w:rPr>
      </w:pPr>
      <w:r>
        <w:rPr>
          <w:lang w:eastAsia="en-US"/>
        </w:rPr>
      </w:r>
    </w:p>
    <w:p>
      <w:pPr>
        <w:pStyle w:val="Heading1"/>
        <w:numPr>
          <w:ilvl w:val="1"/>
          <w:numId w:val="4"/>
        </w:numPr>
        <w:ind w:hanging="0" w:start="0"/>
        <w:rPr>
          <w:lang w:eastAsia="en-US"/>
        </w:rPr>
      </w:pPr>
      <w:r>
        <w:rPr>
          <w:lang w:eastAsia="en-US"/>
        </w:rPr>
        <w:t>Discussion</w:t>
      </w:r>
    </w:p>
    <w:p>
      <w:pPr>
        <w:pStyle w:val="Heading2"/>
        <w:numPr>
          <w:ilvl w:val="2"/>
          <w:numId w:val="4"/>
        </w:numPr>
        <w:ind w:hanging="0" w:start="0"/>
        <w:rPr>
          <w:lang w:eastAsia="en-US"/>
        </w:rPr>
      </w:pPr>
      <w:r>
        <w:rPr>
          <w:lang w:eastAsia="en-US"/>
        </w:rPr>
        <w:t>Question 1. Can Enron Metals market LME Contracts to the 40 or so existing US customers of MG London Inc. (as well as, of course, new US customers)?</w:t>
      </w:r>
    </w:p>
    <w:p>
      <w:pPr>
        <w:pStyle w:val="ssPara2"/>
        <w:rPr/>
      </w:pPr>
      <w:r>
        <w:rPr>
          <w:b/>
          <w:lang w:eastAsia="en-US"/>
        </w:rPr>
        <w:t>Answer:</w:t>
      </w:r>
      <w:r>
        <w:rPr>
          <w:lang w:eastAsia="en-US"/>
        </w:rPr>
        <w:t xml:space="preserve"> Yes.</w:t>
      </w:r>
    </w:p>
    <w:p>
      <w:pPr>
        <w:pStyle w:val="ssPara2"/>
        <w:spacing w:lineRule="auto" w:line="480"/>
        <w:rPr>
          <w:lang w:eastAsia="en-US"/>
        </w:rPr>
      </w:pPr>
      <w:r>
        <w:rPr>
          <w:lang w:eastAsia="en-US"/>
        </w:rPr>
        <w:t>The CEA and CFTC regulations make no provision for division of markets or customers between companies that are authorised to market foreign futures and options to US customers. Consequently, Enron Metals would be able to market LME contracts to existing customers of MG London Inc., as well as to new customers.</w:t>
      </w:r>
    </w:p>
    <w:p>
      <w:pPr>
        <w:pStyle w:val="Normal"/>
        <w:rPr>
          <w:lang w:eastAsia="en-US"/>
        </w:rPr>
      </w:pPr>
      <w:r>
        <w:rPr>
          <w:lang w:eastAsia="en-US"/>
        </w:rPr>
      </w:r>
    </w:p>
    <w:p>
      <w:pPr>
        <w:pStyle w:val="Heading2"/>
        <w:numPr>
          <w:ilvl w:val="2"/>
          <w:numId w:val="4"/>
        </w:numPr>
        <w:ind w:hanging="0" w:start="0"/>
        <w:rPr>
          <w:lang w:eastAsia="en-US"/>
        </w:rPr>
      </w:pPr>
      <w:r>
        <w:rPr>
          <w:lang w:eastAsia="en-US"/>
        </w:rPr>
        <w:t>Question 2. So far as marketing by Enron Metals is concerned, do all written marketing materials (e.g</w:t>
      </w:r>
      <w:r>
        <w:rPr>
          <w:i/>
          <w:lang w:eastAsia="en-US"/>
        </w:rPr>
        <w:t>.</w:t>
      </w:r>
      <w:r>
        <w:rPr>
          <w:lang w:eastAsia="en-US"/>
        </w:rPr>
        <w:t xml:space="preserve"> letters, faxes, brochures, fliers and mail-shots) need explicitly to be sent in the name of Enron Metals? Alternatively, is it possible for such materials to be sent under the cover of EnronOnline but with a footer appearing on such materials referring to Enron Metals (e.g. "Enron Metals Ltd is SFA registered")?</w:t>
      </w:r>
    </w:p>
    <w:p>
      <w:pPr>
        <w:pStyle w:val="ssPara2"/>
        <w:rPr>
          <w:b/>
          <w:lang w:eastAsia="en-US"/>
        </w:rPr>
      </w:pPr>
      <w:r>
        <w:rPr>
          <w:b/>
          <w:lang w:eastAsia="en-US"/>
        </w:rPr>
        <w:t>Answers:</w:t>
      </w:r>
    </w:p>
    <w:p>
      <w:pPr>
        <w:pStyle w:val="ssPara3"/>
        <w:rPr>
          <w:lang w:eastAsia="en-US"/>
        </w:rPr>
      </w:pPr>
      <w:r>
        <w:rPr>
          <w:b/>
          <w:lang w:eastAsia="en-US"/>
        </w:rPr>
        <w:t>Part 1:</w:t>
      </w:r>
      <w:r>
        <w:rPr>
          <w:lang w:eastAsia="en-US"/>
        </w:rPr>
        <w:t xml:space="preserve"> Yes. All written marketing materials should come from Enron Metals. Employees of affiliated companies (or any other companies) that are not appropriately registered (or exempt) should not send out marketing materials.</w:t>
      </w:r>
      <w:r>
        <w:rPr>
          <w:rStyle w:val="FootnoteCharacters"/>
          <w:rStyle w:val="FootnoteReference"/>
          <w:lang w:eastAsia="en-US"/>
        </w:rPr>
        <w:footnoteReference w:id="3"/>
      </w:r>
    </w:p>
    <w:p>
      <w:pPr>
        <w:pStyle w:val="ssPara3"/>
        <w:rPr/>
      </w:pPr>
      <w:r>
        <w:rPr>
          <w:b/>
          <w:lang w:eastAsia="en-US"/>
        </w:rPr>
        <w:t>Part 2:</w:t>
      </w:r>
      <w:r>
        <w:rPr>
          <w:lang w:eastAsia="en-US"/>
        </w:rPr>
        <w:t xml:space="preserve"> No. EnronOnline must avoid appearing to be acting as an “introducing broker” (“IB”) (</w:t>
      </w:r>
      <w:r>
        <w:rPr>
          <w:i/>
          <w:lang w:eastAsia="en-US"/>
        </w:rPr>
        <w:t>i.e.</w:t>
      </w:r>
      <w:r>
        <w:rPr>
          <w:lang w:eastAsia="en-US"/>
        </w:rPr>
        <w:t xml:space="preserve"> a person soliciting business on behalf of Enron Metals) which would require CFTC registration. However, as explained below, other registered futures commission merchants (“FCMs”) or registered IBs could also market on behalf of Enron Metals.</w:t>
      </w:r>
    </w:p>
    <w:p>
      <w:pPr>
        <w:pStyle w:val="ssPara2"/>
        <w:spacing w:lineRule="auto" w:line="480"/>
        <w:rPr>
          <w:lang w:eastAsia="en-US"/>
        </w:rPr>
      </w:pPr>
      <w:r>
        <w:rPr>
          <w:lang w:eastAsia="en-US"/>
        </w:rPr>
        <w:t>As previously discussed at section 3.2 (C) and (D) at pages 7-9 of our 19 September Paper, CFTC rule 30.4 provides that an FCM may solicit and accept orders and money in connection with contracts foreign futures and options.</w:t>
      </w:r>
      <w:r>
        <w:rPr>
          <w:rStyle w:val="FootnoteCharacters"/>
          <w:rStyle w:val="FootnoteReference"/>
          <w:lang w:eastAsia="en-US"/>
        </w:rPr>
        <w:footnoteReference w:id="4"/>
      </w:r>
      <w:r>
        <w:rPr>
          <w:lang w:eastAsia="en-US"/>
        </w:rPr>
        <w:t xml:space="preserve">  If done on a fully disclosed basis, such marketing could be done by any FCM on behalf of Enron Metals.</w:t>
      </w:r>
      <w:r>
        <w:rPr>
          <w:rStyle w:val="FootnoteCharacters"/>
          <w:lang w:eastAsia="en-US"/>
        </w:rPr>
        <w:t xml:space="preserve"> </w:t>
      </w:r>
      <w:r>
        <w:rPr>
          <w:rStyle w:val="FootnoteCharacters"/>
          <w:rStyle w:val="FootnoteReference"/>
          <w:lang w:eastAsia="en-US"/>
        </w:rPr>
        <w:footnoteReference w:id="5"/>
      </w:r>
    </w:p>
    <w:p>
      <w:pPr>
        <w:pStyle w:val="ssPara2"/>
        <w:spacing w:lineRule="auto" w:line="480"/>
        <w:rPr>
          <w:lang w:eastAsia="en-US"/>
        </w:rPr>
      </w:pPr>
      <w:r>
        <w:rPr>
          <w:lang w:eastAsia="en-US"/>
        </w:rPr>
        <w:t>IBs may also market foreign futures and options on behalf of unaffiliated 30.10 firms. The CFTC Division of Trading and Markets (“DTM”), considered this issue in a 1991 Interpretative Letter. The DTM said that it believed that using a separately incorporated and properly licensed sales agent (“whether or not it is an affiliate”) to obtain business should not in and of itself cause the foreign firm operating under 30.10 relief to be characterised as a domestic firm, and thus ineligible for rule 30.10 relief.</w:t>
      </w:r>
      <w:r>
        <w:rPr>
          <w:rStyle w:val="FootnoteCharacters"/>
          <w:rStyle w:val="FootnoteReference"/>
          <w:lang w:eastAsia="en-US"/>
        </w:rPr>
        <w:footnoteReference w:id="6"/>
      </w:r>
    </w:p>
    <w:p>
      <w:pPr>
        <w:pStyle w:val="ssPara2"/>
        <w:spacing w:lineRule="auto" w:line="480"/>
        <w:rPr>
          <w:lang w:eastAsia="en-US"/>
        </w:rPr>
      </w:pPr>
      <w:r>
        <w:rPr>
          <w:lang w:eastAsia="en-US"/>
        </w:rPr>
        <w:t>The DTM’s conclusion was that a registered IB may introduce foreign futures and options customer accounts to a firm operating under a rule 30.10 exemption, subject to the condition that the IB conduct such business on a fully-disclosed basis as required by CFTC rule 30.3(b).</w:t>
      </w:r>
      <w:r>
        <w:rPr>
          <w:rStyle w:val="FootnoteCharacters"/>
          <w:rStyle w:val="FootnoteReference"/>
          <w:lang w:eastAsia="en-US"/>
        </w:rPr>
        <w:footnoteReference w:id="7"/>
      </w:r>
    </w:p>
    <w:p>
      <w:pPr>
        <w:pStyle w:val="ssPara2"/>
        <w:spacing w:lineRule="auto" w:line="480"/>
        <w:rPr>
          <w:lang w:eastAsia="en-US"/>
        </w:rPr>
      </w:pPr>
      <w:r>
        <w:rPr>
          <w:lang w:eastAsia="en-US"/>
        </w:rPr>
        <w:t>As between Enron Metals and Enron Online, Enron Metals would be authorised to market LME contracts to US persons. Enron Online would not, unless it registered with the CFTC in the appropriate capacity (such as an introducing broker (“IB”)).</w:t>
      </w:r>
    </w:p>
    <w:p>
      <w:pPr>
        <w:pStyle w:val="ssPara2"/>
        <w:spacing w:lineRule="auto" w:line="480"/>
        <w:rPr/>
      </w:pPr>
      <w:r>
        <w:rPr>
          <w:lang w:eastAsia="en-US"/>
        </w:rPr>
        <w:t>The CFTC addressed the issue of introductions of business to 30.10 firms from US affiliates in a 1993 Interpretative Letter.</w:t>
      </w:r>
      <w:r>
        <w:rPr>
          <w:rStyle w:val="FootnoteCharacters"/>
          <w:rStyle w:val="FootnoteReference"/>
          <w:lang w:eastAsia="en-US"/>
        </w:rPr>
        <w:footnoteReference w:id="8"/>
      </w:r>
      <w:r>
        <w:rPr>
          <w:lang w:eastAsia="en-US"/>
        </w:rPr>
        <w:t xml:space="preserve"> In that Letter, the CFTC Division of Trading and Markets (“DTM”) pointed out that rule 30.10 relief is applicable </w:t>
      </w:r>
      <w:r>
        <w:rPr>
          <w:b/>
          <w:i/>
          <w:lang w:eastAsia="en-US"/>
        </w:rPr>
        <w:t>only to firms</w:t>
      </w:r>
      <w:r>
        <w:rPr>
          <w:lang w:eastAsia="en-US"/>
        </w:rPr>
        <w:t xml:space="preserve"> </w:t>
      </w:r>
      <w:r>
        <w:rPr>
          <w:b/>
          <w:i/>
          <w:lang w:eastAsia="en-US"/>
        </w:rPr>
        <w:t>outside the United States</w:t>
      </w:r>
      <w:r>
        <w:rPr>
          <w:lang w:eastAsia="en-US"/>
        </w:rPr>
        <w:t>. A foreign firm, which has an affiliate or subsidiary in the US which operates in a related capacity to the 30.10 firm, and which may be likely to solicit or introduce customers to the 30.10 firm, will be eligible for rule 30.10 relief only if certain requirements are met. The 30.10 firm, as part of its application for relief, must:</w:t>
      </w:r>
    </w:p>
    <w:p>
      <w:pPr>
        <w:pStyle w:val="ssNoHeading3"/>
        <w:numPr>
          <w:ilvl w:val="3"/>
          <w:numId w:val="4"/>
        </w:numPr>
        <w:ind w:hanging="0" w:start="0"/>
        <w:rPr>
          <w:lang w:eastAsia="en-US"/>
        </w:rPr>
      </w:pPr>
      <w:r>
        <w:rPr>
          <w:lang w:eastAsia="en-US"/>
        </w:rPr>
        <w:t>Identify the name and location of an affiliate or subsidiary in the United States which acts in a related capacity (i.e., a bank, broker-dealer or dealer in a cash commodity);</w:t>
      </w:r>
    </w:p>
    <w:p>
      <w:pPr>
        <w:pStyle w:val="ssNoHeading3"/>
        <w:numPr>
          <w:ilvl w:val="3"/>
          <w:numId w:val="4"/>
        </w:numPr>
        <w:ind w:hanging="0" w:start="0"/>
        <w:rPr>
          <w:lang w:eastAsia="en-US"/>
        </w:rPr>
      </w:pPr>
      <w:r>
        <w:rPr>
          <w:lang w:eastAsia="en-US"/>
        </w:rPr>
        <w:t xml:space="preserve">Represent that the applicant will not accept any futures-related business from any of its affiliates or subsidiaries in the United States (other than a proprietary account of the affiliate or subsidiary), unless such entities are registered in the appropriate capacity; and </w:t>
      </w:r>
    </w:p>
    <w:p>
      <w:pPr>
        <w:pStyle w:val="ssNoHeading3"/>
        <w:numPr>
          <w:ilvl w:val="3"/>
          <w:numId w:val="4"/>
        </w:numPr>
        <w:ind w:hanging="0" w:start="0"/>
        <w:rPr>
          <w:lang w:eastAsia="en-US"/>
        </w:rPr>
      </w:pPr>
      <w:r>
        <w:rPr>
          <w:lang w:eastAsia="en-US"/>
        </w:rPr>
        <w:t>Represent that it has informed its bank, broker-dealer and dealer in cash commodity affiliates or subsidiaries in writing that they may not introduce to, or solicit futures business on behalf of, the applicant, unless such entities are registered in the appropriate capacity.</w:t>
      </w:r>
    </w:p>
    <w:p>
      <w:pPr>
        <w:pStyle w:val="ssPara2"/>
        <w:spacing w:lineRule="auto" w:line="480"/>
        <w:rPr>
          <w:lang w:eastAsia="en-US"/>
        </w:rPr>
      </w:pPr>
      <w:r>
        <w:rPr>
          <w:lang w:eastAsia="en-US"/>
        </w:rPr>
        <w:t>In a 1998 Interpretative Letter the CFTC DTM pointed out that it believed that a firm whose “ultimate goal is to introduce members of the public to Commission registrants for the purpose of instituting a trading relationship” would be soliciting for “compensation or profit whether direct or indirect.” In the DTM’s view, such conduct was “acting as an IB” and required registration.</w:t>
      </w:r>
      <w:r>
        <w:rPr>
          <w:rStyle w:val="FootnoteCharacters"/>
          <w:rStyle w:val="FootnoteReference"/>
          <w:lang w:eastAsia="en-US"/>
        </w:rPr>
        <w:footnoteReference w:id="9"/>
      </w:r>
    </w:p>
    <w:p>
      <w:pPr>
        <w:pStyle w:val="ssPara2"/>
        <w:spacing w:lineRule="auto" w:line="480"/>
        <w:rPr>
          <w:lang w:eastAsia="en-US"/>
        </w:rPr>
      </w:pPr>
      <w:r>
        <w:rPr>
          <w:lang w:eastAsia="en-US"/>
        </w:rPr>
        <w:t xml:space="preserve">To avoid acting like an IB, EnronOnline must exercise care. A good model is a telephone company, which is not required to register with the CFTC. Its core business is that of a communications facilitator and it does not really care how much commodities business is done over its lines. </w:t>
      </w:r>
    </w:p>
    <w:p>
      <w:pPr>
        <w:pStyle w:val="ssPara2"/>
        <w:spacing w:lineRule="auto" w:line="480"/>
        <w:rPr>
          <w:lang w:eastAsia="en-US"/>
        </w:rPr>
      </w:pPr>
      <w:r>
        <w:rPr>
          <w:lang w:eastAsia="en-US"/>
        </w:rPr>
        <w:t>In the US, it is also becoming accepted that a web-site need not be regulated if its goal is to provide a communications facility to allow buyers and sellers to conclude transactions that they would have previously concluded over the telephone.</w:t>
      </w:r>
    </w:p>
    <w:p>
      <w:pPr>
        <w:pStyle w:val="ssPara2"/>
        <w:spacing w:lineRule="auto" w:line="480"/>
        <w:rPr>
          <w:lang w:eastAsia="en-US"/>
        </w:rPr>
      </w:pPr>
      <w:r>
        <w:rPr>
          <w:lang w:eastAsia="en-US"/>
        </w:rPr>
        <w:t>Therefore, in the context of Enron Metals marketing LME contracts it is important that Enron Online acts as a communications facilitator (similar to a telephone company) as much as possible.</w:t>
      </w:r>
    </w:p>
    <w:p>
      <w:pPr>
        <w:pStyle w:val="ssPara2"/>
        <w:spacing w:lineRule="auto" w:line="480"/>
        <w:rPr>
          <w:lang w:eastAsia="en-US"/>
        </w:rPr>
      </w:pPr>
      <w:r>
        <w:rPr>
          <w:lang w:eastAsia="en-US"/>
        </w:rPr>
        <w:t>The more that Enron Online acts like a marketer soliciting clients for Enron Metals, the greater the danger that the CFTC will find that Enron Online is acting like an IB, and needs to register.</w:t>
      </w:r>
    </w:p>
    <w:p>
      <w:pPr>
        <w:pStyle w:val="ssPara2"/>
        <w:spacing w:lineRule="auto" w:line="480"/>
        <w:rPr>
          <w:lang w:eastAsia="en-US"/>
        </w:rPr>
      </w:pPr>
      <w:r>
        <w:rPr>
          <w:lang w:eastAsia="en-US"/>
        </w:rPr>
        <w:t>We understand that EnronOnline wishes to avoid such a result. Consequently, any marketing materials connected with LME contracts must make it clear that such solicitations are issued by Enron Metals, with whom all LME contract transactions will be concluded.</w:t>
      </w:r>
    </w:p>
    <w:p>
      <w:pPr>
        <w:pStyle w:val="Heading2"/>
        <w:numPr>
          <w:ilvl w:val="2"/>
          <w:numId w:val="4"/>
        </w:numPr>
        <w:ind w:hanging="0" w:start="0"/>
        <w:rPr>
          <w:lang w:eastAsia="en-US"/>
        </w:rPr>
      </w:pPr>
      <w:r>
        <w:rPr>
          <w:lang w:eastAsia="en-US"/>
        </w:rPr>
        <w:t>Question 3. In the context of marketing by Enron Metals, would any group relief be available, given that Enron Metals is part of the Enron group of companies of which EnronOnline forms part?</w:t>
      </w:r>
    </w:p>
    <w:p>
      <w:pPr>
        <w:pStyle w:val="ssPara2"/>
        <w:rPr/>
      </w:pPr>
      <w:r>
        <w:rPr>
          <w:b/>
          <w:lang w:eastAsia="en-US"/>
        </w:rPr>
        <w:t>Answer:</w:t>
      </w:r>
      <w:r>
        <w:rPr>
          <w:lang w:eastAsia="en-US"/>
        </w:rPr>
        <w:t xml:space="preserve"> No. Exemptive relief under rule 30.10 is only available to applicants without a fixed presence in the U.S. See </w:t>
      </w:r>
      <w:r>
        <w:rPr>
          <w:b/>
          <w:lang w:eastAsia="en-US"/>
        </w:rPr>
        <w:t>Answer</w:t>
      </w:r>
      <w:r>
        <w:rPr>
          <w:lang w:eastAsia="en-US"/>
        </w:rPr>
        <w:t xml:space="preserve"> to </w:t>
      </w:r>
      <w:r>
        <w:rPr>
          <w:b/>
          <w:lang w:eastAsia="en-US"/>
        </w:rPr>
        <w:t>Question 2</w:t>
      </w:r>
      <w:r>
        <w:rPr>
          <w:lang w:eastAsia="en-US"/>
        </w:rPr>
        <w:t>, above.</w:t>
      </w:r>
    </w:p>
    <w:p>
      <w:pPr>
        <w:pStyle w:val="Heading2"/>
        <w:numPr>
          <w:ilvl w:val="2"/>
          <w:numId w:val="4"/>
        </w:numPr>
        <w:ind w:hanging="0" w:start="0"/>
        <w:rPr>
          <w:lang w:eastAsia="en-US"/>
        </w:rPr>
      </w:pPr>
      <w:r>
        <w:rPr>
          <w:lang w:eastAsia="en-US"/>
        </w:rPr>
        <w:t>Question 4. Can you confirm that Enron Metals is free to market LME contracts to new US, whether MG London Inc. do so as well?</w:t>
      </w:r>
    </w:p>
    <w:p>
      <w:pPr>
        <w:pStyle w:val="ssPara2"/>
        <w:rPr/>
      </w:pPr>
      <w:r>
        <w:rPr>
          <w:b/>
          <w:lang w:eastAsia="en-US"/>
        </w:rPr>
        <w:t>Answer:</w:t>
      </w:r>
      <w:r>
        <w:rPr>
          <w:lang w:eastAsia="en-US"/>
        </w:rPr>
        <w:t xml:space="preserve"> Yes. See sections 3.2 (C) and (D) at pages 7-9 of our 19 September Paper. </w:t>
      </w:r>
    </w:p>
    <w:p>
      <w:pPr>
        <w:pStyle w:val="Heading2"/>
        <w:numPr>
          <w:ilvl w:val="2"/>
          <w:numId w:val="4"/>
        </w:numPr>
        <w:ind w:hanging="0" w:start="0"/>
        <w:rPr>
          <w:lang w:eastAsia="en-US"/>
        </w:rPr>
      </w:pPr>
      <w:r>
        <w:rPr>
          <w:lang w:eastAsia="en-US"/>
        </w:rPr>
        <w:t>Question 5. In terms of marketing activities conducted by telephone or fax with US customers, can only employees of Enron Metals or MG London Inc. (as applicable) carry this out?</w:t>
      </w:r>
    </w:p>
    <w:p>
      <w:pPr>
        <w:pStyle w:val="ssPara2"/>
        <w:rPr/>
      </w:pPr>
      <w:r>
        <w:rPr>
          <w:b/>
          <w:lang w:eastAsia="en-US"/>
        </w:rPr>
        <w:t>Answer:</w:t>
      </w:r>
      <w:r>
        <w:rPr>
          <w:lang w:eastAsia="en-US"/>
        </w:rPr>
        <w:t xml:space="preserve"> Yes. But, as explained above in section 2.2, other </w:t>
      </w:r>
      <w:r>
        <w:rPr>
          <w:b/>
          <w:lang w:eastAsia="en-US"/>
        </w:rPr>
        <w:t>registered</w:t>
      </w:r>
      <w:r>
        <w:rPr>
          <w:lang w:eastAsia="en-US"/>
        </w:rPr>
        <w:t xml:space="preserve"> firms could also market on behalf of Enron Metals.</w:t>
      </w:r>
    </w:p>
    <w:p>
      <w:pPr>
        <w:pStyle w:val="ssPara2"/>
        <w:rPr>
          <w:lang w:eastAsia="en-US"/>
        </w:rPr>
      </w:pPr>
      <w:r>
        <w:rPr>
          <w:lang w:eastAsia="en-US"/>
        </w:rPr>
      </w:r>
    </w:p>
    <w:p>
      <w:pPr>
        <w:pStyle w:val="Heading1"/>
        <w:numPr>
          <w:ilvl w:val="1"/>
          <w:numId w:val="4"/>
        </w:numPr>
        <w:ind w:hanging="0" w:start="0"/>
        <w:rPr>
          <w:lang w:eastAsia="en-US"/>
        </w:rPr>
      </w:pPr>
      <w:r>
        <w:rPr>
          <w:lang w:eastAsia="en-US"/>
        </w:rPr>
        <w:t>Conclusions</w:t>
      </w:r>
    </w:p>
    <w:p>
      <w:pPr>
        <w:pStyle w:val="Normal"/>
        <w:rPr>
          <w:lang w:eastAsia="en-US"/>
        </w:rPr>
      </w:pPr>
      <w:r>
        <w:rPr>
          <w:lang w:eastAsia="en-US"/>
        </w:rPr>
      </w:r>
    </w:p>
    <w:p>
      <w:pPr>
        <w:pStyle w:val="Normal"/>
        <w:spacing w:lineRule="auto" w:line="480"/>
        <w:rPr>
          <w:lang w:eastAsia="en-US"/>
        </w:rPr>
      </w:pPr>
      <w:r>
        <w:rPr>
          <w:lang w:eastAsia="en-US"/>
        </w:rPr>
        <w:t>Enron Metals will be able to market LME contracts in the US as a 30.10 firm.</w:t>
      </w:r>
    </w:p>
    <w:p>
      <w:pPr>
        <w:pStyle w:val="Normal"/>
        <w:rPr>
          <w:lang w:eastAsia="en-US"/>
        </w:rPr>
      </w:pPr>
      <w:r>
        <w:rPr>
          <w:lang w:eastAsia="en-US"/>
        </w:rPr>
      </w:r>
    </w:p>
    <w:p>
      <w:pPr>
        <w:pStyle w:val="Normal"/>
        <w:spacing w:lineRule="auto" w:line="480"/>
        <w:rPr>
          <w:lang w:eastAsia="en-US"/>
        </w:rPr>
      </w:pPr>
      <w:r>
        <w:rPr>
          <w:lang w:eastAsia="en-US"/>
        </w:rPr>
        <w:t>However, other marketing of LME contracts must be performed by CFTC registered (or other exempt) firms.</w:t>
      </w:r>
    </w:p>
    <w:p>
      <w:pPr>
        <w:pStyle w:val="Normal"/>
        <w:rPr>
          <w:lang w:eastAsia="en-US"/>
        </w:rPr>
      </w:pPr>
      <w:r>
        <w:rPr>
          <w:lang w:eastAsia="en-US"/>
        </w:rPr>
      </w:r>
    </w:p>
    <w:p>
      <w:pPr>
        <w:pStyle w:val="Normal"/>
        <w:rPr>
          <w:lang w:eastAsia="en-US"/>
        </w:rPr>
      </w:pPr>
      <w:r>
        <w:rPr>
          <w:lang w:eastAsia="en-US"/>
        </w:rPr>
        <w:t>If you have any further questions, please do not hesitate to contact us.</w:t>
      </w:r>
    </w:p>
    <w:p>
      <w:pPr>
        <w:pStyle w:val="ssPara1"/>
        <w:rPr>
          <w:lang w:eastAsia="en-US"/>
        </w:rPr>
      </w:pPr>
      <w:r>
        <w:rPr>
          <w:lang w:eastAsia="en-US"/>
        </w:rPr>
      </w:r>
    </w:p>
    <w:p>
      <w:pPr>
        <w:pStyle w:val="ssPara1"/>
        <w:rPr/>
      </w:pPr>
      <w:r>
        <w:rPr/>
      </w:r>
    </w:p>
    <w:p>
      <w:pPr>
        <w:pStyle w:val="ssPara1"/>
        <w:rPr>
          <w:b/>
        </w:rPr>
      </w:pPr>
      <w:r>
        <w:rPr>
          <w:b/>
        </w:rPr>
        <w:t>Simmons &amp; Simmons</w:t>
      </w:r>
    </w:p>
    <w:p>
      <w:pPr>
        <w:pStyle w:val="ssPara1"/>
        <w:spacing w:before="0" w:after="220"/>
        <w:rPr>
          <w:b/>
        </w:rPr>
      </w:pPr>
      <w:r>
        <w:rPr>
          <w:b/>
        </w:rPr>
        <w:t>28 September 2000</w:t>
      </w:r>
    </w:p>
    <w:sectPr>
      <w:footerReference w:type="default" r:id="rId2"/>
      <w:footerReference w:type="first" r:id="rId3"/>
      <w:footnotePr>
        <w:numFmt w:val="decimal"/>
      </w:footnotePr>
      <w:type w:val="nextPage"/>
      <w:pgSz w:w="11906" w:h="16838"/>
      <w:pgMar w:left="1247" w:right="1134" w:gutter="0" w:header="0" w:top="1418" w:footer="720" w:bottom="851"/>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Bodoni">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pPr>
    <w:r>
      <w:rPr/>
    </w:r>
  </w:p>
  <w:p>
    <w:pPr>
      <w:pStyle w:val="Footer"/>
      <w:tabs>
        <w:tab w:val="clear" w:pos="4763"/>
        <w:tab w:val="clear" w:pos="9497"/>
        <w:tab w:val="center" w:pos="4762" w:leader="none"/>
        <w:tab w:val="right" w:pos="9496" w:leader="none"/>
      </w:tabs>
      <w:rPr/>
    </w:pPr>
    <w:r>
      <w:rPr/>
      <w:fldChar w:fldCharType="begin"/>
    </w:r>
    <w:r>
      <w:rPr/>
      <w:instrText xml:space="preserve"> DOCPROPERTY "ssDocRef"</w:instrText>
    </w:r>
    <w:r>
      <w:rPr/>
      <w:fldChar w:fldCharType="separate"/>
    </w:r>
    <w:r>
      <w:rPr/>
      <w:t>5FS/X54946/ENS</w:t>
    </w:r>
    <w:r>
      <w:rPr/>
      <w:fldChar w:fldCharType="end"/>
    </w:r>
    <w:r>
      <w:rPr/>
      <w:fldChar w:fldCharType="begin"/>
    </w:r>
    <w:r>
      <w:rPr/>
      <w:instrText xml:space="preserve"> DOCPROPERTY "ssAsset"</w:instrText>
    </w:r>
    <w:r>
      <w:rPr/>
      <w:fldChar w:fldCharType="separate"/>
    </w:r>
    <w:r>
      <w:rPr/>
      <w:t>(002237)</w:t>
    </w:r>
    <w:r>
      <w:rPr/>
      <w:fldChar w:fldCharType="end"/>
    </w:r>
    <w:r>
      <w:rPr/>
      <w:tab/>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tab/>
    </w:r>
    <w:r>
      <w:rPr/>
      <w:fldChar w:fldCharType="begin"/>
    </w:r>
    <w:r>
      <w:rPr/>
      <w:instrText xml:space="preserve"> DOCPROPERTY "ssDocId"</w:instrText>
    </w:r>
    <w:r>
      <w:rPr/>
      <w:fldChar w:fldCharType="separate"/>
    </w:r>
    <w:r>
      <w:rPr/>
      <w:t>LN:6787EA_64(1)</w:t>
    </w:r>
    <w:r>
      <w:rPr/>
      <w:fldChar w:fldCharType="end"/>
    </w:r>
    <w:r>
      <w:rPr/>
      <w:fldChar w:fldCharType="begin"/>
    </w:r>
    <w:r>
      <w:rPr/>
      <w:instrText xml:space="preserve"> IF  "" ""</w:instrText>
    </w:r>
    <w:r>
      <w:rPr/>
      <w:fldChar w:fldCharType="separate"/>
    </w:r>
    <w:r>
      <w:rPr/>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rFonts w:ascii="Times New Roman" w:hAnsi="Times New Roman" w:cs="Times New Roman"/>
        <w:sz w:val="36"/>
      </w:rPr>
    </w:pPr>
    <w:r>
      <w:rPr>
        <w:rFonts w:cs="Times New Roman" w:ascii="Times New Roman" w:hAnsi="Times New Roman"/>
        <w:sz w:val="36"/>
      </w:rPr>
      <w:t>SIMMONS &amp; SIMMONS</w:t>
    </w:r>
  </w:p>
  <w:p>
    <w:pPr>
      <w:pStyle w:val="Footer"/>
      <w:spacing w:before="120" w:after="0"/>
      <w:rPr>
        <w:sz w:val="22"/>
      </w:rPr>
    </w:pPr>
    <w:r>
      <w:rPr>
        <w:sz w:val="22"/>
      </w:rPr>
      <w:t>21 Wilson Street  London  EC2M 2TX</w:t>
    </w:r>
  </w:p>
  <w:p>
    <w:pPr>
      <w:pStyle w:val="Footer"/>
      <w:tabs>
        <w:tab w:val="clear" w:pos="4763"/>
        <w:tab w:val="clear" w:pos="9497"/>
        <w:tab w:val="center" w:pos="4762" w:leader="none"/>
        <w:tab w:val="right" w:pos="9496" w:leader="none"/>
      </w:tabs>
      <w:rPr/>
    </w:pPr>
    <w:r>
      <w:rPr>
        <w:sz w:val="22"/>
      </w:rPr>
      <w:t>Tel: 020 7628 2020 / 7528 9292  Fax: 020 7628 2070  DX Box No 12</w:t>
    </w:r>
    <w:r>
      <w:rPr/>
      <w:tab/>
    </w:r>
    <w:r>
      <w:rPr/>
      <w:fldChar w:fldCharType="begin"/>
    </w:r>
    <w:r>
      <w:rPr/>
      <w:instrText xml:space="preserve"> IF  "" ""</w:instrText>
    </w:r>
    <w:r>
      <w:rPr/>
      <w:fldChar w:fldCharType="separate"/>
    </w:r>
    <w:r>
      <w:rPr/>
    </w:r>
    <w: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20"/>
        <w:ind w:hanging="709" w:start="709" w:end="0"/>
        <w:rPr/>
      </w:pPr>
      <w:r>
        <w:rPr>
          <w:rStyle w:val="FootnoteCharacters"/>
        </w:rPr>
        <w:footnoteRef/>
      </w:r>
      <w:r>
        <w:rPr/>
        <w:t xml:space="preserve"> </w:t>
      </w:r>
      <w:r>
        <w:rPr>
          <w:lang w:eastAsia="en-US"/>
        </w:rPr>
        <w:t>The US National Futures Association (“NFA”) maintains records of firms entitled to rule 30.10 relief. A 30.10 firm is categorised by the NFA as an “Approved Exempt Foreign Firm.” At present the NFA record of the applicable 30.10 exemption is under the name of Metallgeselchaft Limited (NFA ID No. 0209538). In cases where the name of an exempt firm changes, an exempt firm must inform the NFA of the change of name by filing an appropriate form with the NFA. To take advantage of this 30.10 relief, the NFA should be informed of the change of name to Enron Metals Limited. It may be possible to effect this change through the FSA. If not, the usual method for reporting changes to registration information is to fill out the relevant portions of NFA form 3-R Part I and send it to the National Futures Association, Office of the Secretary, P.O. Box 98383, Chicago, IL, USA, 60693-0001. There is usually no charge for filing such a change.</w:t>
      </w:r>
    </w:p>
  </w:footnote>
  <w:footnote w:id="3">
    <w:p>
      <w:pPr>
        <w:pStyle w:val="FootnoteText"/>
        <w:spacing w:before="0" w:after="220"/>
        <w:ind w:hanging="709" w:start="709" w:end="0"/>
        <w:rPr/>
      </w:pPr>
      <w:r>
        <w:rPr>
          <w:rStyle w:val="FootnoteCharacters"/>
        </w:rPr>
        <w:footnoteRef/>
      </w:r>
      <w:r>
        <w:rPr/>
        <w:t xml:space="preserve"> </w:t>
      </w:r>
      <w:r>
        <w:rPr/>
        <w:t xml:space="preserve">CFTC Interpretative Letter No. 93-65. (Procedures for Firms Applying for Confirmation of Exemptive Relief under Commodity Futures Trading Commission Rule 30.10 Which Have Affiliates or Subsidiaries in the United States.), </w:t>
      </w:r>
      <w:r>
        <w:rPr>
          <w:i/>
        </w:rPr>
        <w:t xml:space="preserve">reprinted in </w:t>
      </w:r>
      <w:r>
        <w:rPr/>
        <w:t>[1992-1994 Transfer Binder] Comm. Fut. L. Rep ¶ 25,784 (July 26, 1993).</w:t>
      </w:r>
    </w:p>
  </w:footnote>
  <w:footnote w:id="4">
    <w:p>
      <w:pPr>
        <w:pStyle w:val="FootnoteText"/>
        <w:spacing w:before="0" w:after="220"/>
        <w:ind w:hanging="709" w:start="709" w:end="0"/>
        <w:rPr/>
      </w:pPr>
      <w:r>
        <w:rPr>
          <w:rStyle w:val="FootnoteCharacters"/>
        </w:rPr>
        <w:footnoteRef/>
      </w:r>
      <w:r>
        <w:rPr/>
        <w:t xml:space="preserve"> </w:t>
      </w:r>
      <w:r>
        <w:rPr/>
        <w:t xml:space="preserve">17 CFR § 30.4, CFTC rule 30.4, </w:t>
      </w:r>
      <w:r>
        <w:rPr>
          <w:i/>
        </w:rPr>
        <w:t>reprinted in</w:t>
      </w:r>
      <w:r>
        <w:rPr/>
        <w:t xml:space="preserve"> Comm. Fut. L. Rep. (CCH) ¶ 2702A.</w:t>
      </w:r>
    </w:p>
  </w:footnote>
  <w:footnote w:id="5">
    <w:p>
      <w:pPr>
        <w:pStyle w:val="FootnoteText"/>
        <w:spacing w:before="0" w:after="220"/>
        <w:ind w:hanging="709" w:start="709" w:end="0"/>
        <w:rPr/>
      </w:pPr>
      <w:r>
        <w:rPr>
          <w:rStyle w:val="FootnoteCharacters"/>
        </w:rPr>
        <w:footnoteRef/>
      </w:r>
      <w:r>
        <w:rPr/>
        <w:t xml:space="preserve"> </w:t>
      </w:r>
      <w:r>
        <w:rPr/>
        <w:t>CFTC Interpretative Letter No. 91-2. [1990-1992 Transfer Binder] Comm. Fut. L. Rep ¶ 25,026, page 37,809.</w:t>
      </w:r>
    </w:p>
  </w:footnote>
  <w:footnote w:id="6">
    <w:p>
      <w:pPr>
        <w:pStyle w:val="FootnoteText"/>
        <w:spacing w:before="0" w:after="220"/>
        <w:ind w:hanging="709" w:start="709" w:end="0"/>
        <w:rPr/>
      </w:pPr>
      <w:r>
        <w:rPr>
          <w:rStyle w:val="FootnoteCharacters"/>
        </w:rPr>
        <w:footnoteRef/>
      </w:r>
      <w:r>
        <w:rPr/>
        <w:t xml:space="preserve"> </w:t>
      </w:r>
      <w:r>
        <w:rPr/>
        <w:t xml:space="preserve">CFTC Interpretative Letter No. 91-2. (Introduction of Business to Rule 30.10 Firms.), </w:t>
      </w:r>
      <w:r>
        <w:rPr>
          <w:i/>
        </w:rPr>
        <w:t xml:space="preserve">reprinted in </w:t>
      </w:r>
      <w:r>
        <w:rPr/>
        <w:t>[1990-1992 Transfer Binder] Comm. Fut. L. Rep ¶ 25,026 (March 29, 1991).</w:t>
      </w:r>
    </w:p>
  </w:footnote>
  <w:footnote w:id="7">
    <w:p>
      <w:pPr>
        <w:pStyle w:val="FootnoteText"/>
        <w:spacing w:before="0" w:after="220"/>
        <w:ind w:hanging="709" w:start="709" w:end="0"/>
        <w:rPr/>
      </w:pPr>
      <w:r>
        <w:rPr>
          <w:rStyle w:val="FootnoteCharacters"/>
        </w:rPr>
        <w:footnoteRef/>
      </w:r>
      <w:r>
        <w:rPr/>
        <w:t xml:space="preserve"> </w:t>
      </w:r>
      <w:r>
        <w:rPr/>
        <w:t>CFTC Interpretative Letter No. 91-2. [1990-1992 Transfer Binder] Comm. Fut. L. Rep ¶ 25,026, page 37,809.</w:t>
      </w:r>
    </w:p>
  </w:footnote>
  <w:footnote w:id="8">
    <w:p>
      <w:pPr>
        <w:pStyle w:val="FootnoteText"/>
        <w:spacing w:before="0" w:after="220"/>
        <w:ind w:hanging="709" w:start="709" w:end="0"/>
        <w:rPr/>
      </w:pPr>
      <w:r>
        <w:rPr>
          <w:rStyle w:val="FootnoteCharacters"/>
        </w:rPr>
        <w:footnoteRef/>
      </w:r>
      <w:r>
        <w:rPr/>
        <w:t xml:space="preserve"> </w:t>
      </w:r>
      <w:r>
        <w:rPr/>
        <w:t xml:space="preserve">CFTC Interpretative Letter No. 93-65, </w:t>
      </w:r>
      <w:r>
        <w:rPr>
          <w:i/>
        </w:rPr>
        <w:t xml:space="preserve">reprinted in </w:t>
      </w:r>
      <w:r>
        <w:rPr/>
        <w:t>[1992-1994 Transfer Binder] Comm. Fut. L. Rep ¶ 25,784 .</w:t>
      </w:r>
    </w:p>
  </w:footnote>
  <w:footnote w:id="9">
    <w:p>
      <w:pPr>
        <w:pStyle w:val="FootnoteText"/>
        <w:spacing w:before="0" w:after="220"/>
        <w:ind w:hanging="709" w:start="709" w:end="0"/>
        <w:rPr/>
      </w:pPr>
      <w:r>
        <w:rPr>
          <w:rStyle w:val="FootnoteCharacters"/>
        </w:rPr>
        <w:footnoteRef/>
      </w:r>
      <w:r>
        <w:rPr/>
        <w:t xml:space="preserve"> </w:t>
      </w:r>
      <w:r>
        <w:rPr/>
        <w:t xml:space="preserve">CFTC Interpretative Letter No. 98-76. (Re: Sections 4m(1) and 4d(1) – Request for an Interpretation or No-Action Position Regarding Commodity Trading Advisor and Introducing Broker Registration.), </w:t>
      </w:r>
      <w:r>
        <w:rPr>
          <w:i/>
        </w:rPr>
        <w:t xml:space="preserve">reprinted in </w:t>
      </w:r>
      <w:r>
        <w:rPr/>
        <w:t>[1998-1999 Transfer Binder] Comm. Fut. L. Rep ¶ 27,477 (November 18, 1998) pages 47,257-47,258.</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none"/>
      <w:suff w:val="nothing"/>
      <w:lvlText w:val=""/>
      <w:lvlJc w:val="start"/>
      <w:pPr>
        <w:tabs>
          <w:tab w:val="num" w:pos="0"/>
        </w:tabs>
        <w:ind w:start="0" w:hanging="0"/>
      </w:pPr>
    </w:lvl>
    <w:lvl w:ilvl="1">
      <w:start w:val="1"/>
      <w:numFmt w:val="decimal"/>
      <w:suff w:val="nothing"/>
      <w:lvlText w:val="part %2"/>
      <w:lvlJc w:val="start"/>
      <w:pPr>
        <w:tabs>
          <w:tab w:val="num" w:pos="0"/>
        </w:tabs>
        <w:ind w:start="0" w:hanging="0"/>
      </w:pPr>
    </w:lvl>
    <w:lvl w:ilvl="2">
      <w:start w:val="1"/>
      <w:numFmt w:val="none"/>
      <w:suff w:val="nothing"/>
      <w:lvlText w:val=""/>
      <w:lvlJc w:val="start"/>
      <w:pPr>
        <w:tabs>
          <w:tab w:val="num" w:pos="360"/>
        </w:tabs>
        <w:ind w:start="0" w:hanging="0"/>
      </w:pPr>
    </w:lvl>
    <w:lvl w:ilvl="3">
      <w:start w:val="1"/>
      <w:numFmt w:val="none"/>
      <w:suff w:val="nothing"/>
      <w:lvlText w:val=""/>
      <w:lvlJc w:val="start"/>
      <w:pPr>
        <w:tabs>
          <w:tab w:val="num" w:pos="360"/>
        </w:tabs>
        <w:ind w:start="0" w:hanging="0"/>
      </w:pPr>
    </w:lvl>
    <w:lvl w:ilvl="4">
      <w:start w:val="1"/>
      <w:numFmt w:val="none"/>
      <w:suff w:val="nothing"/>
      <w:lvlText w:val=""/>
      <w:lvlJc w:val="start"/>
      <w:pPr>
        <w:tabs>
          <w:tab w:val="num" w:pos="360"/>
        </w:tabs>
        <w:ind w:start="0" w:hanging="0"/>
      </w:pPr>
    </w:lvl>
    <w:lvl w:ilvl="5">
      <w:start w:val="1"/>
      <w:numFmt w:val="none"/>
      <w:suff w:val="nothing"/>
      <w:lvlText w:val=""/>
      <w:lvlJc w:val="start"/>
      <w:pPr>
        <w:tabs>
          <w:tab w:val="num" w:pos="360"/>
        </w:tabs>
        <w:ind w:start="0" w:hanging="0"/>
      </w:pPr>
    </w:lvl>
    <w:lvl w:ilvl="6">
      <w:start w:val="1"/>
      <w:numFmt w:val="none"/>
      <w:suff w:val="nothing"/>
      <w:lvlText w:val=""/>
      <w:lvlJc w:val="start"/>
      <w:pPr>
        <w:tabs>
          <w:tab w:val="num" w:pos="360"/>
        </w:tabs>
        <w:ind w:start="0" w:hanging="0"/>
      </w:pPr>
    </w:lvl>
    <w:lvl w:ilvl="7">
      <w:start w:val="1"/>
      <w:numFmt w:val="none"/>
      <w:suff w:val="nothing"/>
      <w:lvlText w:val=""/>
      <w:lvlJc w:val="start"/>
      <w:pPr>
        <w:tabs>
          <w:tab w:val="num" w:pos="360"/>
        </w:tabs>
        <w:ind w:start="0" w:hanging="0"/>
      </w:pPr>
    </w:lvl>
    <w:lvl w:ilvl="8">
      <w:start w:val="1"/>
      <w:numFmt w:val="none"/>
      <w:suff w:val="nothing"/>
      <w:lvlText w:val=""/>
      <w:lvlJc w:val="start"/>
      <w:pPr>
        <w:tabs>
          <w:tab w:val="num" w:pos="360"/>
        </w:tabs>
        <w:ind w:start="0" w:hanging="0"/>
      </w:pPr>
    </w:lvl>
  </w:abstractNum>
  <w:abstractNum w:abstractNumId="3">
    <w:lvl w:ilvl="0">
      <w:start w:val="1"/>
      <w:numFmt w:val="none"/>
      <w:suff w:val="nothing"/>
      <w:lvlText w:val=""/>
      <w:lvlJc w:val="start"/>
      <w:pPr>
        <w:tabs>
          <w:tab w:val="num" w:pos="0"/>
        </w:tabs>
        <w:ind w:start="0" w:hanging="0"/>
      </w:pPr>
    </w:lvl>
    <w:lvl w:ilvl="1">
      <w:start w:val="1"/>
      <w:numFmt w:val="decimal"/>
      <w:suff w:val="nothing"/>
      <w:lvlText w:val="schedule %2"/>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4">
    <w:lvl w:ilvl="0">
      <w:start w:val="1"/>
      <w:numFmt w:val="none"/>
      <w:suff w:val="nothing"/>
      <w:lvlText w:val=""/>
      <w:lvlJc w:val="start"/>
      <w:pPr>
        <w:tabs>
          <w:tab w:val="num" w:pos="0"/>
        </w:tabs>
        <w:ind w:start="0" w:hanging="0"/>
      </w:pPr>
      <w:rPr>
        <w:i w:val="false"/>
        <w:u w:val="none"/>
        <w:b w:val="false"/>
      </w:rPr>
    </w:lvl>
    <w:lvl w:ilvl="1">
      <w:start w:val="1"/>
      <w:numFmt w:val="decimal"/>
      <w:lvlText w:val="%2."/>
      <w:lvlJc w:val="start"/>
      <w:pPr>
        <w:tabs>
          <w:tab w:val="num" w:pos="709"/>
        </w:tabs>
        <w:ind w:start="709" w:hanging="709"/>
      </w:pPr>
      <w:rPr>
        <w:i w:val="false"/>
        <w:u w:val="none"/>
        <w:b w:val="false"/>
      </w:rPr>
    </w:lvl>
    <w:lvl w:ilvl="2">
      <w:start w:val="1"/>
      <w:numFmt w:val="decimal"/>
      <w:lvlText w:val="%2.%3"/>
      <w:lvlJc w:val="start"/>
      <w:pPr>
        <w:tabs>
          <w:tab w:val="num" w:pos="709"/>
        </w:tabs>
        <w:ind w:start="709" w:hanging="709"/>
      </w:pPr>
      <w:rPr>
        <w:i w:val="false"/>
        <w:u w:val="none"/>
        <w:b w:val="false"/>
      </w:rPr>
    </w:lvl>
    <w:lvl w:ilvl="3">
      <w:start w:val="1"/>
      <w:numFmt w:val="upperLetter"/>
      <w:lvlText w:val="(%4)"/>
      <w:lvlJc w:val="start"/>
      <w:pPr>
        <w:tabs>
          <w:tab w:val="num" w:pos="1418"/>
        </w:tabs>
        <w:ind w:start="1418" w:hanging="709"/>
      </w:pPr>
      <w:rPr>
        <w:i w:val="false"/>
        <w:u w:val="none"/>
        <w:b w:val="false"/>
      </w:rPr>
    </w:lvl>
    <w:lvl w:ilvl="4">
      <w:start w:val="1"/>
      <w:numFmt w:val="decimal"/>
      <w:lvlText w:val="(%5)"/>
      <w:lvlJc w:val="start"/>
      <w:pPr>
        <w:tabs>
          <w:tab w:val="num" w:pos="1985"/>
        </w:tabs>
        <w:ind w:start="1985" w:hanging="567"/>
      </w:pPr>
      <w:rPr>
        <w:i w:val="false"/>
        <w:u w:val="none"/>
        <w:b w:val="false"/>
      </w:rPr>
    </w:lvl>
    <w:lvl w:ilvl="5">
      <w:start w:val="1"/>
      <w:numFmt w:val="lowerLetter"/>
      <w:lvlText w:val="(%6)"/>
      <w:lvlJc w:val="start"/>
      <w:pPr>
        <w:tabs>
          <w:tab w:val="num" w:pos="2552"/>
        </w:tabs>
        <w:ind w:start="2552" w:hanging="567"/>
      </w:pPr>
      <w:rPr>
        <w:i w:val="false"/>
        <w:u w:val="none"/>
        <w:b w:val="false"/>
      </w:rPr>
    </w:lvl>
    <w:lvl w:ilvl="6">
      <w:start w:val="1"/>
      <w:numFmt w:val="lowerRoman"/>
      <w:lvlText w:val="(%7)"/>
      <w:lvlJc w:val="start"/>
      <w:pPr>
        <w:tabs>
          <w:tab w:val="num" w:pos="3272"/>
        </w:tabs>
        <w:ind w:start="3119" w:hanging="567"/>
      </w:pPr>
      <w:rPr>
        <w:i w:val="false"/>
        <w:u w:val="none"/>
        <w:b w:val="false"/>
      </w:r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5">
    <w:lvl w:ilvl="0">
      <w:start w:val="1"/>
      <w:numFmt w:val="none"/>
      <w:suff w:val="nothing"/>
      <w:lvlText w:val=""/>
      <w:lvlJc w:val="start"/>
      <w:pPr>
        <w:tabs>
          <w:tab w:val="num" w:pos="0"/>
        </w:tabs>
        <w:ind w:start="0" w:hanging="0"/>
      </w:pPr>
    </w:lvl>
    <w:lvl w:ilvl="1">
      <w:start w:val="1"/>
      <w:numFmt w:val="decimal"/>
      <w:suff w:val="nothing"/>
      <w:lvlText w:val="exhibit %2"/>
      <w:lvlJc w:val="start"/>
      <w:pPr>
        <w:tabs>
          <w:tab w:val="num" w:pos="0"/>
        </w:tabs>
        <w:ind w:start="0" w:hanging="0"/>
      </w:pPr>
    </w:lvl>
    <w:lvl w:ilvl="2">
      <w:start w:val="1"/>
      <w:numFmt w:val="none"/>
      <w:suff w:val="nothing"/>
      <w:lvlText w:val=""/>
      <w:lvlJc w:val="start"/>
      <w:pPr>
        <w:tabs>
          <w:tab w:val="num" w:pos="360"/>
        </w:tabs>
        <w:ind w:start="0" w:hanging="0"/>
      </w:pPr>
    </w:lvl>
    <w:lvl w:ilvl="3">
      <w:start w:val="1"/>
      <w:numFmt w:val="none"/>
      <w:suff w:val="nothing"/>
      <w:lvlText w:val=""/>
      <w:lvlJc w:val="start"/>
      <w:pPr>
        <w:tabs>
          <w:tab w:val="num" w:pos="360"/>
        </w:tabs>
        <w:ind w:start="0" w:hanging="0"/>
      </w:pPr>
    </w:lvl>
    <w:lvl w:ilvl="4">
      <w:start w:val="1"/>
      <w:numFmt w:val="none"/>
      <w:suff w:val="nothing"/>
      <w:lvlText w:val=""/>
      <w:lvlJc w:val="start"/>
      <w:pPr>
        <w:tabs>
          <w:tab w:val="num" w:pos="360"/>
        </w:tabs>
        <w:ind w:start="0" w:hanging="0"/>
      </w:pPr>
    </w:lvl>
    <w:lvl w:ilvl="5">
      <w:start w:val="1"/>
      <w:numFmt w:val="none"/>
      <w:suff w:val="nothing"/>
      <w:lvlText w:val=""/>
      <w:lvlJc w:val="start"/>
      <w:pPr>
        <w:tabs>
          <w:tab w:val="num" w:pos="360"/>
        </w:tabs>
        <w:ind w:start="0" w:hanging="0"/>
      </w:pPr>
    </w:lvl>
    <w:lvl w:ilvl="6">
      <w:start w:val="1"/>
      <w:numFmt w:val="none"/>
      <w:suff w:val="nothing"/>
      <w:lvlText w:val=""/>
      <w:lvlJc w:val="start"/>
      <w:pPr>
        <w:tabs>
          <w:tab w:val="num" w:pos="360"/>
        </w:tabs>
        <w:ind w:start="0" w:hanging="0"/>
      </w:pPr>
    </w:lvl>
    <w:lvl w:ilvl="7">
      <w:start w:val="1"/>
      <w:numFmt w:val="none"/>
      <w:suff w:val="nothing"/>
      <w:lvlText w:val=""/>
      <w:lvlJc w:val="start"/>
      <w:pPr>
        <w:tabs>
          <w:tab w:val="num" w:pos="360"/>
        </w:tabs>
        <w:ind w:start="0" w:hanging="0"/>
      </w:pPr>
    </w:lvl>
    <w:lvl w:ilvl="8">
      <w:start w:val="1"/>
      <w:numFmt w:val="none"/>
      <w:suff w:val="nothing"/>
      <w:lvlText w:val=""/>
      <w:lvlJc w:val="start"/>
      <w:pPr>
        <w:tabs>
          <w:tab w:val="num" w:pos="36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val="bestFit" w:percent="20"/>
  <w:defaultTabStop w:val="709"/>
  <w:autoHyphenation w:val="true"/>
  <w:hyphenationZone w:val="0"/>
  <w:footnotePr>
    <w:numFmt w:val="decimal"/>
    <w:footnote w:id="0"/>
    <w:footnote w:id="1"/>
  </w:footnotePr>
  <w:compat>
    <w:doNotExpandShiftReturn/>
    <w:compatSetting w:name="compatibilityMode" w:uri="http://schemas.microsoft.com/office/word" w:val="11"/>
  </w:compat>
  <w:docVars>
    <w:docVar w:name="DocComment1" w:val="False||False||False||Document created by ens(002237), on 26 September 2000 10:40. |ens|26/09/2000 10:40|(002237)|"/>
    <w:docVar w:name="DocCommentCount" w:val="1"/>
    <w:docVar w:name="dvAskForProtectedSpellCheck" w:val="-1"/>
    <w:docVar w:name="dvAuthor" w:val="ENS"/>
    <w:docVar w:name="dvAuthor1" w:val="Ned Swan/Financial Services Group"/>
    <w:docVar w:name="dvClient" w:val="eMetra Limited"/>
    <w:docVar w:name="dvDocType" w:val="GEN"/>
    <w:docVar w:name="dvLivelinkDesc" w:val="Enron Metals Part 30 Memo C"/>
    <w:docVar w:name="dvMatter" w:val="X54946"/>
    <w:docVar w:name="dvPartner" w:val="ENS"/>
    <w:docVar w:name="dvPartner1" w:val="Ned Swan/Financial Services Group"/>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Arial" w:hAnsi="Arial" w:eastAsia="Times New Roman" w:cs="Arial"/>
      <w:color w:val="auto"/>
      <w:sz w:val="22"/>
      <w:szCs w:val="20"/>
      <w:lang w:val="en-GB" w:eastAsia="zh-CN" w:bidi="hi-IN"/>
    </w:rPr>
  </w:style>
  <w:style w:type="paragraph" w:styleId="Heading1">
    <w:name w:val="heading 1"/>
    <w:basedOn w:val="Normal"/>
    <w:next w:val="ssPara1"/>
    <w:qFormat/>
    <w:pPr>
      <w:keepNext w:val="true"/>
      <w:widowControl w:val="false"/>
      <w:numPr>
        <w:ilvl w:val="0"/>
        <w:numId w:val="4"/>
      </w:numPr>
      <w:spacing w:before="0" w:after="220"/>
      <w:outlineLvl w:val="0"/>
    </w:pPr>
    <w:rPr>
      <w:b/>
      <w:u w:val="single"/>
    </w:rPr>
  </w:style>
  <w:style w:type="paragraph" w:styleId="Heading2">
    <w:name w:val="heading 2"/>
    <w:basedOn w:val="Normal"/>
    <w:next w:val="ssPara2"/>
    <w:qFormat/>
    <w:pPr>
      <w:keepNext w:val="true"/>
      <w:widowControl w:val="false"/>
      <w:numPr>
        <w:ilvl w:val="0"/>
        <w:numId w:val="4"/>
      </w:numPr>
      <w:spacing w:before="0" w:after="220"/>
      <w:outlineLvl w:val="1"/>
    </w:pPr>
    <w:rPr>
      <w:b/>
    </w:rPr>
  </w:style>
  <w:style w:type="paragraph" w:styleId="Heading3">
    <w:name w:val="heading 3"/>
    <w:basedOn w:val="Normal"/>
    <w:next w:val="ssPara3"/>
    <w:qFormat/>
    <w:pPr>
      <w:keepNext w:val="true"/>
      <w:widowControl w:val="false"/>
      <w:numPr>
        <w:ilvl w:val="0"/>
        <w:numId w:val="4"/>
      </w:numPr>
      <w:spacing w:before="0" w:after="220"/>
      <w:outlineLvl w:val="2"/>
    </w:pPr>
    <w:rPr>
      <w:b/>
    </w:rPr>
  </w:style>
  <w:style w:type="paragraph" w:styleId="Heading4">
    <w:name w:val="heading 4"/>
    <w:basedOn w:val="Normal"/>
    <w:next w:val="ssPara4"/>
    <w:qFormat/>
    <w:pPr>
      <w:keepNext w:val="true"/>
      <w:widowControl w:val="false"/>
      <w:numPr>
        <w:ilvl w:val="0"/>
        <w:numId w:val="4"/>
      </w:numPr>
      <w:spacing w:before="0" w:after="220"/>
      <w:outlineLvl w:val="3"/>
    </w:pPr>
    <w:rPr>
      <w:b/>
    </w:rPr>
  </w:style>
  <w:style w:type="paragraph" w:styleId="Heading5">
    <w:name w:val="heading 5"/>
    <w:basedOn w:val="Normal"/>
    <w:next w:val="ssPara5"/>
    <w:qFormat/>
    <w:pPr>
      <w:keepNext w:val="true"/>
      <w:widowControl w:val="false"/>
      <w:numPr>
        <w:ilvl w:val="0"/>
        <w:numId w:val="4"/>
      </w:numPr>
      <w:spacing w:before="0" w:after="220"/>
      <w:outlineLvl w:val="4"/>
    </w:pPr>
    <w:rPr>
      <w:b/>
    </w:rPr>
  </w:style>
  <w:style w:type="paragraph" w:styleId="Heading6">
    <w:name w:val="heading 6"/>
    <w:basedOn w:val="Normal"/>
    <w:next w:val="ssPara6"/>
    <w:qFormat/>
    <w:pPr>
      <w:keepNext w:val="true"/>
      <w:widowControl w:val="false"/>
      <w:numPr>
        <w:ilvl w:val="0"/>
        <w:numId w:val="4"/>
      </w:numPr>
      <w:tabs>
        <w:tab w:val="clear" w:pos="709"/>
        <w:tab w:val="left" w:pos="3119" w:leader="none"/>
      </w:tabs>
      <w:spacing w:before="0" w:after="220"/>
      <w:outlineLvl w:val="5"/>
    </w:pPr>
    <w:rPr>
      <w:b/>
    </w:rPr>
  </w:style>
  <w:style w:type="paragraph" w:styleId="Heading7">
    <w:name w:val="heading 7"/>
    <w:basedOn w:val="Normal"/>
    <w:next w:val="ssPara1"/>
    <w:qFormat/>
    <w:pPr>
      <w:numPr>
        <w:ilvl w:val="6"/>
        <w:numId w:val="1"/>
      </w:numPr>
      <w:outlineLvl w:val="6"/>
    </w:pPr>
    <w:rPr/>
  </w:style>
  <w:style w:type="paragraph" w:styleId="Heading8">
    <w:name w:val="heading 8"/>
    <w:basedOn w:val="Normal"/>
    <w:next w:val="ssPara1"/>
    <w:qFormat/>
    <w:pPr>
      <w:numPr>
        <w:ilvl w:val="7"/>
        <w:numId w:val="1"/>
      </w:numPr>
      <w:outlineLvl w:val="7"/>
    </w:pPr>
    <w:rPr/>
  </w:style>
  <w:style w:type="paragraph" w:styleId="Heading9">
    <w:name w:val="heading 9"/>
    <w:basedOn w:val="Normal"/>
    <w:next w:val="ssPara1"/>
    <w:qFormat/>
    <w:pPr>
      <w:numPr>
        <w:ilvl w:val="8"/>
        <w:numId w:val="1"/>
      </w:numPr>
      <w:outlineLvl w:val="8"/>
    </w:pPr>
    <w:rPr/>
  </w:style>
  <w:style w:type="character" w:styleId="WW8Num4z0">
    <w:name w:val="WW8Num4z0"/>
    <w:qFormat/>
    <w:rPr>
      <w:b w:val="false"/>
      <w:i w:val="false"/>
      <w:u w:val="none"/>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z w:val="22"/>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sRestartNumber">
    <w:name w:val="ssRestartNumber"/>
    <w:basedOn w:val="Normal"/>
    <w:next w:val="ssPara1"/>
    <w:qFormat/>
    <w:pPr>
      <w:numPr>
        <w:ilvl w:val="0"/>
        <w:numId w:val="4"/>
      </w:numPr>
    </w:pPr>
    <w:rPr>
      <w:color w:val="FF0000"/>
    </w:rPr>
  </w:style>
  <w:style w:type="paragraph" w:styleId="EndnoteText">
    <w:name w:val="endnote text"/>
    <w:basedOn w:val="Normal"/>
    <w:pPr>
      <w:tabs>
        <w:tab w:val="left" w:pos="709" w:leader="none"/>
      </w:tabs>
      <w:spacing w:before="0" w:after="220"/>
      <w:ind w:hanging="709" w:start="709" w:end="0"/>
    </w:pPr>
    <w:rPr/>
  </w:style>
  <w:style w:type="paragraph" w:styleId="HeaderandFooter">
    <w:name w:val="Header and Footer"/>
    <w:basedOn w:val="Normal"/>
    <w:qFormat/>
    <w:pPr>
      <w:suppressLineNumbers/>
      <w:tabs>
        <w:tab w:val="clear" w:pos="709"/>
        <w:tab w:val="center" w:pos="4986" w:leader="none"/>
        <w:tab w:val="right" w:pos="9972" w:leader="none"/>
      </w:tabs>
    </w:pPr>
    <w:rPr/>
  </w:style>
  <w:style w:type="paragraph" w:styleId="Footer">
    <w:name w:val="footer"/>
    <w:basedOn w:val="Normal"/>
    <w:pPr>
      <w:tabs>
        <w:tab w:val="clear" w:pos="709"/>
        <w:tab w:val="center" w:pos="4763" w:leader="none"/>
        <w:tab w:val="right" w:pos="9497" w:leader="none"/>
      </w:tabs>
    </w:pPr>
    <w:rPr>
      <w:sz w:val="14"/>
    </w:rPr>
  </w:style>
  <w:style w:type="paragraph" w:styleId="FootnoteText">
    <w:name w:val="footnote text"/>
    <w:basedOn w:val="Normal"/>
    <w:pPr>
      <w:tabs>
        <w:tab w:val="left" w:pos="709" w:leader="none"/>
      </w:tabs>
      <w:spacing w:before="0" w:after="220"/>
      <w:ind w:hanging="709" w:start="709" w:end="0"/>
    </w:pPr>
    <w:rPr>
      <w:b/>
      <w:sz w:val="18"/>
    </w:rPr>
  </w:style>
  <w:style w:type="paragraph" w:styleId="Header">
    <w:name w:val="header"/>
    <w:basedOn w:val="Normal"/>
    <w:pPr>
      <w:tabs>
        <w:tab w:val="clear" w:pos="709"/>
        <w:tab w:val="center" w:pos="4763" w:leader="none"/>
        <w:tab w:val="right" w:pos="9497" w:leader="none"/>
      </w:tabs>
    </w:pPr>
    <w:rPr/>
  </w:style>
  <w:style w:type="paragraph" w:styleId="ssPara1">
    <w:name w:val="ssPara1"/>
    <w:basedOn w:val="Normal"/>
    <w:qFormat/>
    <w:pPr>
      <w:spacing w:before="0" w:after="220"/>
    </w:pPr>
    <w:rPr/>
  </w:style>
  <w:style w:type="paragraph" w:styleId="ssPara2">
    <w:name w:val="ssPara2"/>
    <w:basedOn w:val="Normal"/>
    <w:qFormat/>
    <w:pPr>
      <w:spacing w:before="0" w:after="220"/>
      <w:ind w:hanging="0" w:start="709" w:end="0"/>
    </w:pPr>
    <w:rPr/>
  </w:style>
  <w:style w:type="paragraph" w:styleId="ssPara3">
    <w:name w:val="ssPara3"/>
    <w:basedOn w:val="Normal"/>
    <w:qFormat/>
    <w:pPr>
      <w:spacing w:before="0" w:after="220"/>
      <w:ind w:hanging="0" w:start="1418" w:end="0"/>
    </w:pPr>
    <w:rPr/>
  </w:style>
  <w:style w:type="paragraph" w:styleId="ssPara4">
    <w:name w:val="ssPara4"/>
    <w:basedOn w:val="Normal"/>
    <w:qFormat/>
    <w:pPr>
      <w:spacing w:before="0" w:after="220"/>
      <w:ind w:hanging="0" w:start="1985" w:end="0"/>
    </w:pPr>
    <w:rPr/>
  </w:style>
  <w:style w:type="paragraph" w:styleId="ssPara5">
    <w:name w:val="ssPara5"/>
    <w:basedOn w:val="Normal"/>
    <w:qFormat/>
    <w:pPr>
      <w:spacing w:before="0" w:after="220"/>
      <w:ind w:hanging="0" w:start="2552" w:end="0"/>
    </w:pPr>
    <w:rPr/>
  </w:style>
  <w:style w:type="paragraph" w:styleId="ssPara6">
    <w:name w:val="ssPara6"/>
    <w:basedOn w:val="Normal"/>
    <w:qFormat/>
    <w:pPr>
      <w:spacing w:before="0" w:after="220"/>
      <w:ind w:hanging="0" w:start="3119" w:end="0"/>
    </w:pPr>
    <w:rPr/>
  </w:style>
  <w:style w:type="paragraph" w:styleId="TOC1">
    <w:name w:val="toc 1"/>
    <w:basedOn w:val="Normal"/>
    <w:pPr>
      <w:tabs>
        <w:tab w:val="left" w:pos="709" w:leader="none"/>
        <w:tab w:val="right" w:pos="9497" w:leader="dot"/>
      </w:tabs>
      <w:spacing w:before="220" w:after="0"/>
    </w:pPr>
    <w:rPr/>
  </w:style>
  <w:style w:type="paragraph" w:styleId="TOC2">
    <w:name w:val="toc 2"/>
    <w:basedOn w:val="Normal"/>
    <w:next w:val="ssPara1"/>
    <w:pPr>
      <w:tabs>
        <w:tab w:val="clear" w:pos="709"/>
        <w:tab w:val="left" w:pos="1814" w:leader="none"/>
        <w:tab w:val="right" w:pos="9497" w:leader="dot"/>
      </w:tabs>
      <w:ind w:hanging="709" w:start="1418" w:end="0"/>
    </w:pPr>
    <w:rPr/>
  </w:style>
  <w:style w:type="paragraph" w:styleId="TOC3">
    <w:name w:val="toc 3"/>
    <w:basedOn w:val="Normal"/>
    <w:next w:val="ssPara1"/>
    <w:pPr>
      <w:tabs>
        <w:tab w:val="clear" w:pos="709"/>
        <w:tab w:val="left" w:pos="1418" w:leader="none"/>
        <w:tab w:val="left" w:pos="1985" w:leader="none"/>
        <w:tab w:val="right" w:pos="9497" w:leader="dot"/>
      </w:tabs>
      <w:ind w:hanging="567" w:start="1985" w:end="0"/>
    </w:pPr>
    <w:rPr>
      <w:lang w:val="en-CA"/>
    </w:rPr>
  </w:style>
  <w:style w:type="paragraph" w:styleId="TOC4">
    <w:name w:val="toc 4"/>
    <w:basedOn w:val="Normal"/>
    <w:next w:val="ssPara1"/>
    <w:pPr>
      <w:tabs>
        <w:tab w:val="clear" w:pos="709"/>
        <w:tab w:val="left" w:pos="2552" w:leader="none"/>
        <w:tab w:val="right" w:pos="9497" w:leader="dot"/>
      </w:tabs>
      <w:ind w:hanging="567" w:start="2552" w:end="0"/>
    </w:pPr>
    <w:rPr>
      <w:lang w:val="en-CA"/>
    </w:rPr>
  </w:style>
  <w:style w:type="paragraph" w:styleId="ssqExhibit">
    <w:name w:val="ssqExhibit"/>
    <w:basedOn w:val="Normal"/>
    <w:next w:val="ssPara1"/>
    <w:qFormat/>
    <w:pPr>
      <w:numPr>
        <w:ilvl w:val="0"/>
        <w:numId w:val="5"/>
      </w:numPr>
      <w:spacing w:before="0" w:after="220"/>
      <w:jc w:val="center"/>
    </w:pPr>
    <w:rPr>
      <w:b/>
      <w:caps/>
    </w:rPr>
  </w:style>
  <w:style w:type="paragraph" w:styleId="ssqPart">
    <w:name w:val="ssqPart"/>
    <w:basedOn w:val="Normal"/>
    <w:next w:val="ssPara1"/>
    <w:qFormat/>
    <w:pPr>
      <w:numPr>
        <w:ilvl w:val="0"/>
        <w:numId w:val="2"/>
      </w:numPr>
      <w:spacing w:before="0" w:after="220"/>
      <w:jc w:val="center"/>
    </w:pPr>
    <w:rPr>
      <w:b/>
      <w:caps/>
    </w:rPr>
  </w:style>
  <w:style w:type="paragraph" w:styleId="ssqSchedule">
    <w:name w:val="ssqSchedule"/>
    <w:basedOn w:val="Normal"/>
    <w:next w:val="ssPara1"/>
    <w:qFormat/>
    <w:pPr>
      <w:numPr>
        <w:ilvl w:val="0"/>
        <w:numId w:val="3"/>
      </w:numPr>
      <w:spacing w:before="0" w:after="220"/>
      <w:jc w:val="center"/>
    </w:pPr>
    <w:rPr>
      <w:b/>
      <w:caps/>
    </w:rPr>
  </w:style>
  <w:style w:type="paragraph" w:styleId="ssqToCAdd">
    <w:name w:val="ssqToCAdd"/>
    <w:basedOn w:val="ssPara1"/>
    <w:next w:val="ssPara1"/>
    <w:qFormat/>
    <w:pPr/>
    <w:rPr/>
  </w:style>
  <w:style w:type="paragraph" w:styleId="ssRestartExhibit">
    <w:name w:val="ssRestartExhibit"/>
    <w:basedOn w:val="Normal"/>
    <w:next w:val="ssPara1"/>
    <w:qFormat/>
    <w:pPr>
      <w:numPr>
        <w:ilvl w:val="0"/>
        <w:numId w:val="5"/>
      </w:numPr>
    </w:pPr>
    <w:rPr>
      <w:color w:val="FF0000"/>
    </w:rPr>
  </w:style>
  <w:style w:type="paragraph" w:styleId="ssRestartPart">
    <w:name w:val="ssRestartPart"/>
    <w:basedOn w:val="Normal"/>
    <w:next w:val="ssPara1"/>
    <w:qFormat/>
    <w:pPr>
      <w:numPr>
        <w:ilvl w:val="0"/>
        <w:numId w:val="2"/>
      </w:numPr>
    </w:pPr>
    <w:rPr>
      <w:color w:val="FF0000"/>
    </w:rPr>
  </w:style>
  <w:style w:type="paragraph" w:styleId="ssRestartSchedule">
    <w:name w:val="ssRestartSchedule"/>
    <w:basedOn w:val="Normal"/>
    <w:next w:val="ssPara1"/>
    <w:qFormat/>
    <w:pPr>
      <w:numPr>
        <w:ilvl w:val="0"/>
        <w:numId w:val="3"/>
      </w:numPr>
    </w:pPr>
    <w:rPr>
      <w:color w:val="FF0000"/>
    </w:rPr>
  </w:style>
  <w:style w:type="paragraph" w:styleId="sszLabels">
    <w:name w:val="sszLabels"/>
    <w:basedOn w:val="Normal"/>
    <w:next w:val="Normal"/>
    <w:qFormat/>
    <w:pPr>
      <w:widowControl w:val="false"/>
      <w:spacing w:before="40" w:after="240"/>
      <w:jc w:val="start"/>
    </w:pPr>
    <w:rPr>
      <w:sz w:val="16"/>
      <w:lang w:val="en-CA"/>
    </w:rPr>
  </w:style>
  <w:style w:type="paragraph" w:styleId="ssNoHeading1">
    <w:name w:val="ssNoHeading1"/>
    <w:basedOn w:val="Heading1"/>
    <w:qFormat/>
    <w:pPr>
      <w:keepNext w:val="false"/>
      <w:widowControl/>
      <w:numPr>
        <w:ilvl w:val="0"/>
        <w:numId w:val="4"/>
      </w:numPr>
    </w:pPr>
    <w:rPr>
      <w:b w:val="false"/>
      <w:u w:val="none"/>
    </w:rPr>
  </w:style>
  <w:style w:type="paragraph" w:styleId="ssNoHeading2">
    <w:name w:val="ssNoHeading2"/>
    <w:basedOn w:val="Heading2"/>
    <w:qFormat/>
    <w:pPr>
      <w:keepNext w:val="false"/>
      <w:widowControl/>
      <w:numPr>
        <w:ilvl w:val="0"/>
        <w:numId w:val="4"/>
      </w:numPr>
    </w:pPr>
    <w:rPr>
      <w:b w:val="false"/>
    </w:rPr>
  </w:style>
  <w:style w:type="paragraph" w:styleId="ssNoHeading3">
    <w:name w:val="ssNoHeading3"/>
    <w:basedOn w:val="Heading3"/>
    <w:qFormat/>
    <w:pPr>
      <w:keepNext w:val="false"/>
      <w:widowControl/>
      <w:numPr>
        <w:ilvl w:val="0"/>
        <w:numId w:val="4"/>
      </w:numPr>
    </w:pPr>
    <w:rPr>
      <w:b w:val="false"/>
    </w:rPr>
  </w:style>
  <w:style w:type="paragraph" w:styleId="ssNoHeading4">
    <w:name w:val="ssNoHeading4"/>
    <w:basedOn w:val="Heading4"/>
    <w:qFormat/>
    <w:pPr>
      <w:keepNext w:val="false"/>
      <w:widowControl/>
      <w:numPr>
        <w:ilvl w:val="0"/>
        <w:numId w:val="4"/>
      </w:numPr>
    </w:pPr>
    <w:rPr>
      <w:b w:val="false"/>
    </w:rPr>
  </w:style>
  <w:style w:type="paragraph" w:styleId="ssNoHeading5">
    <w:name w:val="ssNoHeading5"/>
    <w:basedOn w:val="Heading5"/>
    <w:qFormat/>
    <w:pPr>
      <w:keepNext w:val="false"/>
      <w:widowControl/>
      <w:numPr>
        <w:ilvl w:val="0"/>
        <w:numId w:val="4"/>
      </w:numPr>
    </w:pPr>
    <w:rPr>
      <w:b w:val="false"/>
    </w:rPr>
  </w:style>
  <w:style w:type="paragraph" w:styleId="ssNoHeading6">
    <w:name w:val="ssNoHeading6"/>
    <w:basedOn w:val="Heading6"/>
    <w:qFormat/>
    <w:pPr>
      <w:keepNext w:val="false"/>
      <w:widowControl/>
      <w:numPr>
        <w:ilvl w:val="0"/>
        <w:numId w:val="4"/>
      </w:numPr>
    </w:pPr>
    <w:rPr>
      <w:b w:val="false"/>
    </w:rPr>
  </w:style>
  <w:style w:type="paragraph" w:styleId="sszLargeText">
    <w:name w:val="sszLargeText"/>
    <w:basedOn w:val="Normal"/>
    <w:next w:val="Normal"/>
    <w:qFormat/>
    <w:pPr>
      <w:widowControl w:val="false"/>
      <w:spacing w:before="120" w:after="0"/>
    </w:pPr>
    <w:rPr>
      <w:sz w:val="70"/>
      <w:lang w:val="en-CA"/>
    </w:rPr>
  </w:style>
  <w:style w:type="paragraph" w:styleId="sszAgreementText">
    <w:name w:val="sszAgreementText"/>
    <w:basedOn w:val="Normal"/>
    <w:qFormat/>
    <w:pPr>
      <w:widowControl w:val="false"/>
      <w:jc w:val="start"/>
    </w:pPr>
    <w:rPr/>
  </w:style>
  <w:style w:type="paragraph" w:styleId="sszRelatingText">
    <w:name w:val="sszRelatingText"/>
    <w:basedOn w:val="Normal"/>
    <w:qFormat/>
    <w:pPr>
      <w:widowControl w:val="false"/>
    </w:pPr>
    <w:rPr>
      <w:sz w:val="28"/>
      <w:lang w:val="en-CA"/>
    </w:rPr>
  </w:style>
  <w:style w:type="paragraph" w:styleId="sszLogo">
    <w:name w:val="sszLogo"/>
    <w:basedOn w:val="Normal"/>
    <w:next w:val="Normal"/>
    <w:qFormat/>
    <w:pPr>
      <w:jc w:val="start"/>
    </w:pPr>
    <w:rPr>
      <w:rFonts w:ascii="Bodoni" w:hAnsi="Bodoni" w:cs="Bodoni"/>
      <w:caps/>
      <w:sz w:val="36"/>
      <w:lang w:val="en-CA"/>
    </w:rPr>
  </w:style>
  <w:style w:type="paragraph" w:styleId="sszSSDetails">
    <w:name w:val="sszS&amp;SDetails"/>
    <w:basedOn w:val="Normal"/>
    <w:next w:val="Normal"/>
    <w:qFormat/>
    <w:pPr>
      <w:jc w:val="start"/>
    </w:pPr>
    <w:rPr>
      <w:sz w:val="14"/>
      <w:lang w:val="en-CA"/>
    </w:rPr>
  </w:style>
  <w:style w:type="paragraph" w:styleId="sszPrintDate">
    <w:name w:val="sszPrintDate"/>
    <w:basedOn w:val="Footer"/>
    <w:next w:val="Footer"/>
    <w:qFormat/>
    <w:pPr>
      <w:tabs>
        <w:tab w:val="clear" w:pos="9497"/>
        <w:tab w:val="center" w:pos="4763" w:leader="none"/>
        <w:tab w:val="right" w:pos="8505" w:leader="none"/>
      </w:tabs>
      <w:spacing w:before="0" w:after="0"/>
      <w:jc w:val="start"/>
    </w:pPr>
    <w:rPr>
      <w:sz w:val="1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ssGeneral</Template>
  <TotalTime>885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2000-09-26T06:56:00Z</dcterms:created>
  <dc:creator>ens</dc:creator>
  <dc:description/>
  <dc:language>en-CA</dc:language>
  <cp:lastModifiedBy>ens</cp:lastModifiedBy>
  <cp:lastPrinted>2000-09-28T17:53:00Z</cp:lastPrinted>
  <dcterms:modified xsi:type="dcterms:W3CDTF">2000-09-28T14:27:00Z</dcterms:modified>
  <cp:revision>68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GEN</vt:lpwstr>
  </property>
  <property fmtid="{D5CDD505-2E9C-101B-9397-08002B2CF9AE}" pid="3" name="Language">
    <vt:lpwstr>UK</vt:lpwstr>
  </property>
  <property fmtid="{D5CDD505-2E9C-101B-9397-08002B2CF9AE}" pid="4" name="Livelink">
    <vt:bool>1</vt:bool>
  </property>
  <property fmtid="{D5CDD505-2E9C-101B-9397-08002B2CF9AE}" pid="5" name="National">
    <vt:bool>1</vt:bool>
  </property>
  <property fmtid="{D5CDD505-2E9C-101B-9397-08002B2CF9AE}" pid="6" name="ssAsset">
    <vt:lpwstr>(002237)</vt:lpwstr>
  </property>
  <property fmtid="{D5CDD505-2E9C-101B-9397-08002B2CF9AE}" pid="7" name="ssCompany">
    <vt:lpwstr>SIMMONS &amp; SIMMONS</vt:lpwstr>
  </property>
  <property fmtid="{D5CDD505-2E9C-101B-9397-08002B2CF9AE}" pid="8" name="ssDocId">
    <vt:lpwstr>LN:6787EA_65(1)</vt:lpwstr>
  </property>
  <property fmtid="{D5CDD505-2E9C-101B-9397-08002B2CF9AE}" pid="9" name="ssDocRef">
    <vt:lpwstr>5FS/X54946/ENS</vt:lpwstr>
  </property>
  <property fmtid="{D5CDD505-2E9C-101B-9397-08002B2CF9AE}" pid="10" name="ssLockedVersion">
    <vt:r8>1</vt:r8>
  </property>
  <property fmtid="{D5CDD505-2E9C-101B-9397-08002B2CF9AE}" pid="11" name="ssNumberFormal">
    <vt:bool>1</vt:bool>
  </property>
  <property fmtid="{D5CDD505-2E9C-101B-9397-08002B2CF9AE}" pid="12" name="ssPrintDate">
    <vt:bool>0</vt:bool>
  </property>
  <property fmtid="{D5CDD505-2E9C-101B-9397-08002B2CF9AE}" pid="13" name="ssReleaseVer">
    <vt:lpwstr>2.20.13</vt:lpwstr>
  </property>
</Properties>
</file>