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March 31,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KELLOGG COMPANY, a corporation organized under the law of the State of Delaware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color w:val="000000"/>
          <w:sz w:val="22"/>
        </w:rPr>
      </w:pPr>
      <w:r>
        <w:rPr>
          <w:b/>
          <w:sz w:val="22"/>
        </w:rPr>
        <w:t>“</w:t>
      </w:r>
      <w:r>
        <w:rPr>
          <w:b/>
          <w:sz w:val="22"/>
        </w:rPr>
        <w:t>Threshold Amount”</w:t>
      </w:r>
      <w:r>
        <w:rPr>
          <w:sz w:val="22"/>
        </w:rPr>
        <w:t xml:space="preserve"> means:  with respect to Party A, U.S. $100,000,000 (or its equivalent in another currency); and with respect to Party B, U.S. $100,000,000 (or its equivalent in another currency).</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as to Party A, if after such action or event such resulting, surviving, or transferee entity (which entity is the successor-in-interest to Party A)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480" w:after="0"/>
        <w:jc w:val="both"/>
        <w:rPr>
          <w:b/>
          <w:sz w:val="22"/>
        </w:rPr>
      </w:pPr>
      <w:r>
        <w:rPr>
          <w:b/>
          <w:sz w:val="22"/>
        </w:rPr>
      </w:r>
    </w:p>
    <w:p>
      <w:pPr>
        <w:pStyle w:val="Normal"/>
        <w:spacing w:lineRule="exact" w:line="240" w:before="480" w:after="0"/>
        <w:jc w:val="both"/>
        <w:rPr>
          <w:b/>
          <w:sz w:val="22"/>
        </w:rPr>
      </w:pPr>
      <w:r>
        <w:rPr>
          <w:b/>
          <w:sz w:val="22"/>
        </w:rPr>
        <w:t>Part 2.  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Delaware.</w:t>
      </w:r>
    </w:p>
    <w:p>
      <w:pPr>
        <w:pStyle w:val="Normal"/>
        <w:spacing w:lineRule="exact" w:line="240" w:before="240" w:after="0"/>
        <w:ind w:hanging="720" w:start="900" w:end="0"/>
        <w:jc w:val="both"/>
        <w:rPr>
          <w:sz w:val="22"/>
        </w:rPr>
      </w:pPr>
      <w:r>
        <w:rPr>
          <w:sz w:val="22"/>
        </w:rPr>
        <w:t>(ii)</w:t>
        <w:tab/>
        <w:t>The following representation applies to Party B:</w:t>
      </w:r>
    </w:p>
    <w:p>
      <w:pPr>
        <w:pStyle w:val="Normal"/>
        <w:spacing w:lineRule="exact" w:line="240" w:before="240" w:after="0"/>
        <w:ind w:start="900" w:end="0"/>
        <w:jc w:val="both"/>
        <w:rPr>
          <w:sz w:val="22"/>
        </w:rPr>
      </w:pPr>
      <w:r>
        <w:rPr>
          <w:sz w:val="22"/>
        </w:rPr>
        <w:t>Party B is a corporation organized under the laws of the State of Delaware.</w:t>
      </w:r>
    </w:p>
    <w:p>
      <w:pPr>
        <w:pStyle w:val="Normal"/>
        <w:spacing w:lineRule="exact" w:line="240" w:before="48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firstLine="720" w:end="0"/>
        <w:jc w:val="both"/>
        <w:rPr>
          <w:sz w:val="22"/>
        </w:rPr>
      </w:pPr>
      <w:r>
        <w:rPr>
          <w:sz w:val="22"/>
        </w:rPr>
        <w:t>(a)</w:t>
        <w:tab/>
        <w:t>Tax forms, documents, or certificates to be delivered are:  None.</w:t>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Enron Corp.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Enron Corp.</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North America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Kellogg Company</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One Kellogg Square</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P. O. Box 3559</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Battle Creek, Michigan  49016-3559</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General Counsel</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(616) 961-3276</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(616) 961-2000</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 provided that, if an Event of Default with respect to Party A has occurred and is continuing then the Calculation Agent shall be a third party appointed by Party B, acceptable to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none,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 xml:space="preserve">Setoff. </w:t>
      </w:r>
      <w:r>
        <w:rPr>
          <w:sz w:val="22"/>
        </w:rPr>
        <w:t xml:space="preserve">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(j)</w:t>
        <w:tab/>
      </w:r>
      <w:r>
        <w:rPr>
          <w:b/>
          <w:sz w:val="22"/>
        </w:rPr>
        <w:t>Transfer.</w:t>
      </w:r>
      <w:r>
        <w:rPr>
          <w:sz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start="720" w:end="0"/>
        <w:jc w:val="both"/>
        <w:rPr>
          <w:sz w:val="22"/>
        </w:rPr>
      </w:pPr>
      <w:r>
        <w:rPr>
          <w:sz w:val="22"/>
        </w:rPr>
      </w:r>
    </w:p>
    <w:p>
      <w:pPr>
        <w:pStyle w:val="BodyTextIndent3"/>
        <w:widowControl/>
        <w:rPr/>
      </w:pPr>
      <w:r>
        <w:rPr/>
        <w:t>“</w:t>
      </w:r>
      <w:r>
        <w:rPr/>
        <w:t>For purposes of this Section, the non-transferring party’s withholding of consent to a proposed transfer will not be deemed to be unreasonable if, without limitation:  (i) an Event of Default,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(v) the proposed transfer would adversely affect the nontransferring party’s netting or setoff rights hereunder or under applicable law.”</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sz w:val="22"/>
        </w:rPr>
      </w:pPr>
      <w:r>
        <w:rPr>
          <w:sz w:val="22"/>
        </w:rPr>
        <w:t>(m)</w:t>
        <w:tab/>
      </w:r>
      <w:r>
        <w:rPr>
          <w:b/>
          <w:sz w:val="22"/>
        </w:rPr>
        <w:t>Modification of Certain Provisions.</w:t>
      </w:r>
    </w:p>
    <w:p>
      <w:pPr>
        <w:pStyle w:val="Normal"/>
        <w:spacing w:lineRule="exact" w:line="240"/>
        <w:ind w:firstLine="720" w:end="0"/>
        <w:jc w:val="both"/>
        <w:rPr>
          <w:sz w:val="22"/>
        </w:rPr>
      </w:pPr>
      <w:r>
        <w:rPr>
          <w:sz w:val="22"/>
        </w:rPr>
      </w:r>
    </w:p>
    <w:p>
      <w:pPr>
        <w:pStyle w:val="Normal"/>
        <w:spacing w:lineRule="exact" w:line="240"/>
        <w:ind w:hanging="720" w:start="2160" w:end="0"/>
        <w:jc w:val="both"/>
        <w:rPr/>
      </w:pPr>
      <w:r>
        <w:rPr>
          <w:sz w:val="22"/>
        </w:rPr>
        <w:t>(i)</w:t>
        <w:tab/>
      </w:r>
      <w:r>
        <w:rPr>
          <w:b/>
          <w:sz w:val="22"/>
        </w:rPr>
        <w:t xml:space="preserve">Financial Statements.  </w:t>
      </w:r>
      <w:r>
        <w:rPr>
          <w:sz w:val="22"/>
        </w:rPr>
        <w:t>Section 3(d) is modified by adding the words “or, in the case of any financial statements, fairly present, in all material respects, the financial condition and results of operations of the person or persons referred to therein as at the date thereof or for the fiscal period covered thereby all in accordance with generally accepted accounting principles in the United States of America applied on a consistent basis” immediately prior to the period at the end of Section 3(d).</w:t>
      </w:r>
    </w:p>
    <w:p>
      <w:pPr>
        <w:pStyle w:val="Normal"/>
        <w:spacing w:lineRule="exact" w:line="240"/>
        <w:ind w:hanging="720" w:start="2160" w:end="0"/>
        <w:jc w:val="both"/>
        <w:rPr>
          <w:b/>
          <w:sz w:val="22"/>
        </w:rPr>
      </w:pPr>
      <w:r>
        <w:rPr>
          <w:b/>
          <w:sz w:val="22"/>
        </w:rPr>
      </w:r>
    </w:p>
    <w:p>
      <w:pPr>
        <w:pStyle w:val="Normal"/>
        <w:spacing w:lineRule="exact" w:line="240"/>
        <w:ind w:hanging="720" w:start="2160" w:end="0"/>
        <w:jc w:val="both"/>
        <w:rPr/>
      </w:pPr>
      <w:r>
        <w:rPr>
          <w:sz w:val="22"/>
        </w:rPr>
        <w:t>(ii)</w:t>
        <w:tab/>
      </w:r>
      <w:r>
        <w:rPr>
          <w:b/>
          <w:sz w:val="22"/>
        </w:rPr>
        <w:t>Administrative or Operational Error.</w:t>
      </w:r>
      <w:r>
        <w:rPr>
          <w:sz w:val="22"/>
        </w:rPr>
        <w:t xml:space="preserve">  Section 5(a)(v) is modified by adding the following immediately prior to the semicolon at the end of such Section:</w:t>
      </w:r>
    </w:p>
    <w:p>
      <w:pPr>
        <w:pStyle w:val="Normal"/>
        <w:spacing w:lineRule="exact" w:line="240"/>
        <w:ind w:hanging="720" w:start="2160" w:end="0"/>
        <w:jc w:val="both"/>
        <w:rPr>
          <w:b/>
          <w:sz w:val="22"/>
        </w:rPr>
      </w:pPr>
      <w:r>
        <w:rPr>
          <w:b/>
          <w:sz w:val="22"/>
        </w:rPr>
      </w:r>
    </w:p>
    <w:p>
      <w:pPr>
        <w:pStyle w:val="Normal"/>
        <w:spacing w:lineRule="exact" w:line="240"/>
        <w:ind w:start="2160" w:end="0"/>
        <w:jc w:val="both"/>
        <w:rPr/>
      </w:pPr>
      <w:r>
        <w:rPr>
          <w:sz w:val="22"/>
        </w:rPr>
        <w:t>“</w:t>
      </w:r>
      <w:r>
        <w:rPr>
          <w:i/>
          <w:sz w:val="22"/>
        </w:rPr>
        <w:t>provided</w:t>
      </w:r>
      <w:r>
        <w:rPr>
          <w:sz w:val="22"/>
        </w:rPr>
        <w:t xml:space="preserve"> that the failure to make any payment or delivery under a Specified Transaction will not be deemed to be an Event of Default if (x) such failure is caused by an error or omission of an administrative or operational nature; (y) funds or property were available to such party to enable it to make the relevant payment or delivery when due; and (z) such relevant payment or delivery is made within three Local Business Days following receipt of written notice from an interested party of such failure to pay or deliver</w:t>
      </w:r>
    </w:p>
    <w:p>
      <w:pPr>
        <w:pStyle w:val="Normal"/>
        <w:spacing w:lineRule="exact" w:line="240"/>
        <w:ind w:start="2160" w:end="0"/>
        <w:jc w:val="both"/>
        <w:rPr>
          <w:sz w:val="22"/>
        </w:rPr>
      </w:pPr>
      <w:r>
        <w:rPr>
          <w:sz w:val="22"/>
        </w:rPr>
      </w:r>
    </w:p>
    <w:p>
      <w:pPr>
        <w:pStyle w:val="Normal"/>
        <w:spacing w:lineRule="exact" w:line="240"/>
        <w:ind w:hanging="720" w:start="2160" w:end="0"/>
        <w:jc w:val="both"/>
        <w:rPr/>
      </w:pPr>
      <w:r>
        <w:rPr>
          <w:sz w:val="22"/>
        </w:rPr>
        <w:t>(iii)</w:t>
        <w:tab/>
      </w:r>
      <w:r>
        <w:rPr>
          <w:b/>
          <w:sz w:val="22"/>
        </w:rPr>
        <w:t>Cross Acceleration.</w:t>
      </w:r>
      <w:r>
        <w:rPr>
          <w:sz w:val="22"/>
        </w:rPr>
        <w:t xml:space="preserve">  Section 5(a)(vi) is modified by deleting the words “, or becoming capable at such time of being declared,”.</w:t>
      </w:r>
    </w:p>
    <w:p>
      <w:pPr>
        <w:pStyle w:val="Normal"/>
        <w:spacing w:lineRule="exact" w:line="240"/>
        <w:ind w:hanging="720" w:start="2160" w:end="0"/>
        <w:jc w:val="both"/>
        <w:rPr>
          <w:b/>
          <w:sz w:val="22"/>
        </w:rPr>
      </w:pPr>
      <w:r>
        <w:rPr>
          <w:b/>
          <w:sz w:val="22"/>
        </w:rPr>
      </w:r>
    </w:p>
    <w:p>
      <w:pPr>
        <w:pStyle w:val="Normal"/>
        <w:spacing w:lineRule="exact" w:line="240"/>
        <w:ind w:hanging="720" w:start="2160" w:end="0"/>
        <w:jc w:val="both"/>
        <w:rPr/>
      </w:pPr>
      <w:r>
        <w:rPr>
          <w:sz w:val="22"/>
        </w:rPr>
        <w:t>(iv)</w:t>
        <w:tab/>
      </w:r>
      <w:r>
        <w:rPr>
          <w:b/>
          <w:sz w:val="22"/>
        </w:rPr>
        <w:t>Corporate Changes.</w:t>
      </w:r>
      <w:r>
        <w:rPr>
          <w:sz w:val="22"/>
        </w:rPr>
        <w:t xml:space="preserve">  For purposes of Sections 5(a)(viii) and 5(b)(iv), if a party, any Credit Support Provider of such party or any applicable Specified Entity of such party (“X”) reorganizes, incorporates or reincorporates, or reconstitutes as or into another entity, then (i) a consolidation, amalgamation or merger will be deemed to have occurred for the purposes of each such Section, and (ii) any reference in any such Section to “the resulting, surviving or transferee entity” (or words of similar meaning) will also include reference to, as the case may be, any reorganized or reconstituted entity.</w:t>
      </w:r>
    </w:p>
    <w:p>
      <w:pPr>
        <w:pStyle w:val="Normal"/>
        <w:spacing w:before="480" w:after="0"/>
        <w:jc w:val="both"/>
        <w:rPr>
          <w:b/>
          <w:sz w:val="22"/>
        </w:rPr>
      </w:pPr>
      <w:r>
        <w:rPr>
          <w:b/>
          <w:sz w:val="22"/>
        </w:rPr>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sz w:val="22"/>
        </w:rPr>
      </w:pPr>
      <w:r>
        <w:rPr>
          <w:sz w:val="22"/>
        </w:rPr>
      </w:r>
    </w:p>
    <w:p>
      <w:pPr>
        <w:pStyle w:val="Normal"/>
        <w:ind w:firstLine="720" w:end="0"/>
        <w:jc w:val="both"/>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p>
    <w:p>
      <w:pPr>
        <w:pStyle w:val="Header"/>
        <w:widowControl/>
        <w:rPr>
          <w:color w:val="000000"/>
          <w:sz w:val="22"/>
        </w:rPr>
      </w:pPr>
      <w:r>
        <w:rPr>
          <w:color w:val="000000"/>
          <w:sz w:val="22"/>
        </w:rPr>
      </w:r>
      <w:r>
        <w:br w:type="page"/>
      </w:r>
    </w:p>
    <w:p>
      <w:pPr>
        <w:pStyle w:val="Header"/>
        <w:widowControl/>
        <w:rPr/>
      </w:pPr>
      <w:r>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rPr>
            </w:pPr>
            <w:r>
              <w:rPr>
                <w:b/>
                <w:color w:val="000000"/>
                <w:sz w:val="22"/>
              </w:rPr>
              <w:t>ENRON NORTH AMERICA CORP.</w:t>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color w:val="000000"/>
                <w:sz w:val="22"/>
              </w:rPr>
            </w:pPr>
            <w:r>
              <w:rPr>
                <w:b/>
                <w:color w:val="000000"/>
                <w:sz w:val="22"/>
              </w:rPr>
              <w:t>KELLOGG COMPANY</w:t>
            </w:r>
          </w:p>
          <w:p>
            <w:pPr>
              <w:pStyle w:val="Justified"/>
              <w:keepNext w:val="true"/>
              <w:widowControl/>
              <w:spacing w:lineRule="exact" w:line="240" w:before="0" w:after="0"/>
              <w:rPr>
                <w:rFonts w:ascii="Times New Roman" w:hAnsi="Times New Roman" w:cs="Times New Roman"/>
                <w:color w:val="000000"/>
                <w:sz w:val="22"/>
              </w:rPr>
            </w:pPr>
            <w:r>
              <w:rPr>
                <w:rFonts w:cs="Times New Roman" w:ascii="Times New Roman" w:hAnsi="Times New Roman"/>
                <w:color w:val="000000"/>
                <w:sz w:val="22"/>
              </w:rPr>
            </w:r>
          </w:p>
          <w:p>
            <w:pPr>
              <w:pStyle w:val="Normal"/>
              <w:keepNext w:val="true"/>
              <w:spacing w:lineRule="exact" w:line="240"/>
              <w:jc w:val="both"/>
              <w:rPr>
                <w:rFonts w:ascii="Times New Roman" w:hAnsi="Times New Roman" w:cs="Times New Roman"/>
                <w:sz w:val="22"/>
              </w:rPr>
            </w:pPr>
            <w:r>
              <w:rPr>
                <w:rFonts w:cs="Times New Roman"/>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March 31, 2000</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b/>
                <w:color w:val="000000"/>
                <w:sz w:val="22"/>
              </w:rPr>
            </w:pPr>
            <w:r>
              <w:rPr>
                <w:b/>
                <w:color w:val="000000"/>
                <w:sz w:val="22"/>
              </w:rPr>
              <w:t>KELLOGG COMPANY, a corporation organized under the law of the State of Delaware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720" w:end="0"/>
        <w:jc w:val="both"/>
        <w:rPr>
          <w:b/>
          <w:sz w:val="22"/>
        </w:rPr>
      </w:pPr>
      <w:r>
        <w:rPr>
          <w:b/>
          <w:sz w:val="22"/>
        </w:rPr>
      </w:r>
    </w:p>
    <w:p>
      <w:pPr>
        <w:pStyle w:val="Normal"/>
        <w:ind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keepNext w:val="true"/>
              <w:keepLines/>
              <w:snapToGrid w:val="false"/>
              <w:jc w:val="both"/>
              <w:rPr>
                <w:sz w:val="22"/>
              </w:rPr>
            </w:pPr>
            <w:r>
              <w:rPr>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Party A, U.S. $10,000,000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rPr>
      </w:pPr>
      <w:r>
        <w:rPr>
          <w:color w:val="000000"/>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$1.</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$1.</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ind w:start="1080" w:end="0"/>
        <w:jc w:val="both"/>
        <w:rPr/>
      </w:pPr>
      <w:r>
        <w:rPr>
          <w:sz w:val="22"/>
        </w:rPr>
        <w:t xml:space="preserve">(2)  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sz w:val="22"/>
        </w:rPr>
      </w:pPr>
      <w:r>
        <w:rPr>
          <w:sz w:val="22"/>
        </w:rPr>
        <w:t>(iv)  The provisions of Paragraph 5(i)(B) are hereby amended by inserting the following immediately before the word “and” in line 5 thereof:</w:t>
      </w:r>
    </w:p>
    <w:p>
      <w:pPr>
        <w:pStyle w:val="Normal"/>
        <w:spacing w:before="240" w:after="0"/>
        <w:ind w:start="720" w:end="0"/>
        <w:jc w:val="both"/>
        <w:rPr>
          <w:sz w:val="22"/>
        </w:rPr>
      </w:pPr>
      <w:r>
        <w:rPr>
          <w:sz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Enron Corp. has a Credit Rating from S&amp;P and the lowest Credit Rating for Enron Corp. is “BBB-” or higher by S&amp;P.</w:t>
      </w:r>
    </w:p>
    <w:p>
      <w:pPr>
        <w:pStyle w:val="Normal"/>
        <w:ind w:start="1080" w:end="0"/>
        <w:jc w:val="both"/>
        <w:rPr>
          <w:sz w:val="22"/>
        </w:rPr>
      </w:pPr>
      <w:r>
        <w:rPr>
          <w:sz w:val="22"/>
        </w:rPr>
      </w:r>
    </w:p>
    <w:p>
      <w:pPr>
        <w:pStyle w:val="BodyTextIndent"/>
        <w:rPr/>
      </w:pPr>
      <w:r>
        <w:rPr/>
        <w:t>(2)  Posted Collateral may be held only in the following jurisdictions:  Any jurisdiction within the United States.</w:t>
      </w:r>
    </w:p>
    <w:p>
      <w:pPr>
        <w:pStyle w:val="Normal"/>
        <w:ind w:hanging="720" w:start="2160" w:end="0"/>
        <w:jc w:val="both"/>
        <w:rPr>
          <w:sz w:val="22"/>
        </w:rPr>
      </w:pPr>
      <w:r>
        <w:rPr>
          <w:sz w:val="22"/>
        </w:rPr>
      </w:r>
    </w:p>
    <w:p>
      <w:pPr>
        <w:pStyle w:val="Normal"/>
        <w:ind w:start="720" w:end="0"/>
        <w:jc w:val="both"/>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(1)  Party B is not a Defaulting Party and it has a Credit Rating</w:t>
      </w:r>
      <w:r>
        <w:rPr>
          <w:color w:val="000000"/>
          <w:sz w:val="22"/>
        </w:rPr>
        <w:t xml:space="preserve"> from S&amp;P</w:t>
      </w:r>
      <w:r>
        <w:rPr>
          <w:sz w:val="22"/>
        </w:rPr>
        <w:t xml:space="preserve"> and the lowest Credit Rating for it is “</w:t>
      </w:r>
      <w:r>
        <w:rPr>
          <w:color w:val="000000"/>
          <w:sz w:val="22"/>
        </w:rPr>
        <w:t>BBB-</w:t>
      </w:r>
      <w:r>
        <w:rPr>
          <w:sz w:val="22"/>
        </w:rPr>
        <w:t>” or higher by S&amp;P.</w:t>
      </w:r>
    </w:p>
    <w:p>
      <w:pPr>
        <w:pStyle w:val="Normal"/>
        <w:ind w:start="1080" w:end="0"/>
        <w:jc w:val="both"/>
        <w:rPr>
          <w:sz w:val="22"/>
        </w:rPr>
      </w:pPr>
      <w:r>
        <w:rPr>
          <w:sz w:val="22"/>
        </w:rPr>
      </w:r>
    </w:p>
    <w:p>
      <w:pPr>
        <w:pStyle w:val="Normal"/>
        <w:ind w:start="1080" w:end="0"/>
        <w:jc w:val="both"/>
        <w:rPr>
          <w:color w:val="FF0000"/>
          <w:sz w:val="22"/>
        </w:rPr>
      </w:pPr>
      <w:r>
        <w:rPr>
          <w:sz w:val="22"/>
        </w:rPr>
        <w:t>(2)  Posted Collateral may be held only in the following jurisdictions:  Any jurisdiction in the United States.</w:t>
      </w:r>
    </w:p>
    <w:p>
      <w:pPr>
        <w:pStyle w:val="Normal"/>
        <w:ind w:start="720" w:end="0"/>
        <w:jc w:val="both"/>
        <w:rPr>
          <w:color w:val="FF0000"/>
          <w:sz w:val="22"/>
        </w:rPr>
      </w:pPr>
      <w:r>
        <w:rPr>
          <w:color w:val="FF0000"/>
          <w:sz w:val="22"/>
        </w:rPr>
      </w:r>
    </w:p>
    <w:p>
      <w:pPr>
        <w:pStyle w:val="BodyTextIndent3"/>
        <w:rPr/>
      </w:pPr>
      <w:r>
        <w:rPr/>
        <w:t>If a party is not eligible to hold Posted Collateral pursuant to this Section, then it shall be considered a “Downgraded Party” (as defined in Paragraph 13(g)(ii)) and Posted Collateral shall be maintained in accordance with Paragraphs 13(g)(ii) and 13(h)(iii).</w:t>
      </w:r>
    </w:p>
    <w:p>
      <w:pPr>
        <w:pStyle w:val="Normal"/>
        <w:ind w:start="72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720" w:end="0"/>
        <w:jc w:val="both"/>
        <w:rPr>
          <w:sz w:val="22"/>
        </w:rPr>
      </w:pPr>
      <w:r>
        <w:rPr>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Overnight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900" w:end="0"/>
        <w:jc w:val="both"/>
        <w:rPr/>
      </w:pPr>
      <w:r>
        <w:rPr>
          <w:sz w:val="22"/>
        </w:rPr>
        <w:t>(A)  If the provisions of Paragraph 6(c) do not apply to a party as a result of a Credit Rating Event described in Paragraph 13(g)(ii</w:t>
      </w:r>
      <w:r>
        <w:rPr>
          <w:color w:val="000000"/>
          <w:sz w:val="22"/>
        </w:rPr>
        <w:t>)</w:t>
      </w:r>
      <w:r>
        <w:rPr>
          <w:rStyle w:val="FootnoteCharacters"/>
          <w:color w:val="000000"/>
          <w:sz w:val="22"/>
        </w:rPr>
        <w:t xml:space="preserve"> </w:t>
      </w:r>
      <w:r>
        <w:rPr>
          <w:color w:val="000000"/>
          <w:sz w:val="22"/>
        </w:rPr>
        <w:t>,</w:t>
      </w:r>
      <w:r>
        <w:rPr>
          <w:color w:val="FF0000"/>
          <w:sz w:val="22"/>
        </w:rPr>
        <w:t xml:space="preserve"> </w:t>
      </w:r>
      <w:r>
        <w:rPr>
          <w:sz w:val="22"/>
        </w:rPr>
        <w:t>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900" w:end="0"/>
        <w:jc w:val="both"/>
        <w:rPr>
          <w:sz w:val="22"/>
        </w:rPr>
      </w:pPr>
      <w:r>
        <w:rPr>
          <w:sz w:val="22"/>
        </w:rPr>
      </w:r>
    </w:p>
    <w:p>
      <w:pPr>
        <w:pStyle w:val="Normal"/>
        <w:ind w:start="900" w:end="0"/>
        <w:jc w:val="both"/>
        <w:rPr>
          <w:sz w:val="22"/>
        </w:rPr>
      </w:pPr>
      <w:r>
        <w:rPr>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sz w:val="22"/>
        </w:rPr>
      </w:pPr>
      <w:r>
        <w:rPr>
          <w:sz w:val="22"/>
        </w:rPr>
      </w:r>
    </w:p>
    <w:p>
      <w:pPr>
        <w:pStyle w:val="Normal"/>
        <w:ind w:start="900" w:end="0"/>
        <w:jc w:val="both"/>
        <w:rPr>
          <w:sz w:val="22"/>
        </w:rPr>
      </w:pPr>
      <w:r>
        <w:rPr>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900" w:end="0"/>
        <w:jc w:val="both"/>
        <w:rPr>
          <w:sz w:val="22"/>
        </w:rPr>
      </w:pPr>
      <w:r>
        <w:rPr>
          <w:sz w:val="22"/>
        </w:rPr>
      </w:r>
    </w:p>
    <w:p>
      <w:pPr>
        <w:pStyle w:val="Normal"/>
        <w:ind w:start="90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Normal"/>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Overnight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Material Adverse Change”</w:t>
      </w:r>
      <w:r>
        <w:rPr>
          <w:sz w:val="22"/>
        </w:rPr>
        <w:t xml:space="preserve"> means (a) with respect to Party A, Enron Corp.’s Credit Rating is below “BBB-” by S&amp;P or Enron Corp. fails to have a Credit Rating from S&amp;P; or (b) with respect to Party B, its Credit Rating is below “BBB-” by S&amp;P or it fails to have a Credit Rating from S&amp;P.</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sectPr>
          <w:headerReference w:type="default" r:id="rId3"/>
          <w:footerReference w:type="default" r:id="rId4"/>
          <w:footerReference w:type="first" r:id="rId5"/>
          <w:type w:val="nextPage"/>
          <w:pgSz w:w="12240" w:h="15840"/>
          <w:pgMar w:left="1080" w:right="1080" w:gutter="0" w:header="720" w:top="1440" w:footer="720" w:bottom="1440"/>
          <w:pgNumType w:start="1" w:fmt="decimal"/>
          <w:formProt w:val="false"/>
          <w:textDirection w:val="lrTb"/>
          <w:docGrid w:type="default" w:linePitch="360" w:charSpace="0"/>
        </w:sectPr>
        <w:pStyle w:val="Normal"/>
        <w:ind w:hanging="720"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jc w:val="center"/>
        <w:rPr>
          <w:sz w:val="22"/>
        </w:rPr>
      </w:pPr>
      <w:r>
        <w:rPr>
          <w:sz w:val="22"/>
        </w:rPr>
      </w:r>
    </w:p>
    <w:p>
      <w:pPr>
        <w:pStyle w:val="Normal"/>
        <w:rPr>
          <w:sz w:val="22"/>
        </w:rPr>
      </w:pPr>
      <w:r>
        <w:rPr>
          <w:sz w:val="22"/>
        </w:rPr>
        <w:t>[Address]</w:t>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the following statement, dated and signed by a representative of the beneficiary:</w:t>
      </w:r>
    </w:p>
    <w:p>
      <w:pPr>
        <w:pStyle w:val="Normal"/>
        <w:jc w:val="both"/>
        <w:rPr>
          <w:sz w:val="22"/>
        </w:rPr>
      </w:pPr>
      <w:r>
        <w:rPr>
          <w:sz w:val="22"/>
        </w:rPr>
      </w:r>
    </w:p>
    <w:p>
      <w:pPr>
        <w:pStyle w:val="Normal"/>
        <w:tabs>
          <w:tab w:val="left" w:pos="720" w:leader="none"/>
        </w:tabs>
        <w:ind w:hanging="720" w:start="720" w:end="0"/>
        <w:jc w:val="both"/>
        <w:rPr>
          <w:sz w:val="22"/>
        </w:rPr>
      </w:pPr>
      <w:r>
        <w:rPr>
          <w:sz w:val="22"/>
        </w:rPr>
        <w:tab/>
        <w:t>“An Event of Default (as defined in the Master Agreement dated as of ________ between beneficiary and Account Party, as the same may have been amended (the “Master Agreement”)) has occurred and is continuing with respect to Account Party under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sz w:val="22"/>
        </w:rPr>
      </w:pPr>
      <w:r>
        <w:rPr>
          <w:sz w:val="22"/>
        </w:rPr>
      </w:r>
    </w:p>
    <w:p>
      <w:pPr>
        <w:pStyle w:val="Normal"/>
        <w:tabs>
          <w:tab w:val="clear" w:pos="720"/>
          <w:tab w:val="left" w:pos="4320" w:leader="none"/>
          <w:tab w:val="left" w:pos="5040" w:leader="none"/>
          <w:tab w:val="left" w:pos="5760" w:leader="none"/>
        </w:tabs>
        <w:ind w:start="5040" w:end="0"/>
        <w:rPr>
          <w:sz w:val="22"/>
        </w:rPr>
      </w:pPr>
      <w:r>
        <w:rPr>
          <w:sz w:val="22"/>
        </w:rPr>
        <w:t>[BANK SIGNATURE]</w:t>
      </w:r>
    </w:p>
    <w:sectPr>
      <w:headerReference w:type="default" r:id="rId10"/>
      <w:headerReference w:type="first" r:id="rId11"/>
      <w:footerReference w:type="default" r:id="rId12"/>
      <w:footerReference w:type="first" r:id="rId1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/mnt/main-storage/datasets/enron-docs/doc/658ectr.doc</w:t>
    </w:r>
    <w:r>
      <w:rPr>
        <w:sz w:val="16"/>
      </w:rPr>
      <w:fldChar w:fldCharType="end"/>
    </w:r>
  </w:p>
  <w:p>
    <w:pPr>
      <w:pStyle w:val="Footer"/>
      <w:widowControl/>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/mnt/main-storage/datasets/enron-docs/doc/658ectr.doc</w:t>
    </w:r>
    <w:r>
      <w:rPr>
        <w:sz w:val="16"/>
        <w:lang w:eastAsia="en-US"/>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7</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sz w:val="26"/>
      </w:rPr>
      <w:t>-</w:t>
    </w:r>
    <w:r>
      <w:rPr/>
      <w:t>2</w:t>
    </w:r>
    <w:r>
      <w:rPr>
        <w:sz w:val="26"/>
      </w:rPr>
      <w:t>-</w:t>
    </w:r>
  </w:p>
  <w:p>
    <w:pPr>
      <w:pStyle w:val="Normal"/>
      <w:rPr>
        <w:sz w:val="8"/>
      </w:rPr>
    </w:pPr>
    <w:r>
      <w:rPr>
        <w:sz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108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2000-03-30T22:19:00Z</dcterms:created>
  <dc:creator>mheard</dc:creator>
  <dc:description/>
  <dc:language>en-CA</dc:language>
  <cp:lastModifiedBy>mheard</cp:lastModifiedBy>
  <cp:lastPrinted>2000-03-30T18:50:00Z</cp:lastPrinted>
  <dcterms:modified xsi:type="dcterms:W3CDTF">2000-03-30T22:21:00Z</dcterms:modified>
  <cp:revision>3</cp:revision>
  <dc:subject/>
  <dc:title>ISDA Multicurrency Agreement</dc:title>
</cp:coreProperties>
</file>