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Summary of construct for transfer of “Assets” </w:t>
      </w:r>
    </w:p>
    <w:p>
      <w:pPr>
        <w:pStyle w:val="Normal"/>
        <w:jc w:val="center"/>
        <w:rPr/>
      </w:pPr>
      <w:r>
        <w:rPr/>
        <w:t>under the E and C Asset Purchase Agreement</w:t>
      </w:r>
    </w:p>
    <w:p>
      <w:pPr>
        <w:pStyle w:val="Normal"/>
        <w:jc w:val="center"/>
        <w:rPr/>
      </w:pPr>
      <w:r>
        <w:rPr/>
      </w:r>
    </w:p>
    <w:p>
      <w:pPr>
        <w:pStyle w:val="Normal"/>
        <w:rPr/>
      </w:pPr>
      <w:r>
        <w:rPr/>
      </w:r>
    </w:p>
    <w:p>
      <w:pPr>
        <w:pStyle w:val="Normal"/>
        <w:rPr/>
      </w:pPr>
      <w:r>
        <w:rPr/>
        <w:tab/>
        <w:t>Based upon this afternoon’s conference call, please find below a summary the construct that should be reflected in your revised E and C Asset Purchase Agreement (the “Agreement”) regarding the transfer of “Assets”:</w:t>
      </w:r>
    </w:p>
    <w:p>
      <w:pPr>
        <w:pStyle w:val="Normal"/>
        <w:rPr/>
      </w:pPr>
      <w:r>
        <w:rPr/>
      </w:r>
    </w:p>
    <w:p>
      <w:pPr>
        <w:pStyle w:val="Normal"/>
        <w:rPr/>
      </w:pPr>
      <w:r>
        <w:rPr/>
        <w:tab/>
        <w:t>1.</w:t>
        <w:tab/>
        <w:t>The “Assets”, as defined in Section 2.1 of the Agreement, should become part of a discrete list.  The parties intend that the final identification/allocation of what will become part of the “Assets” will be made by L. Kitchen and J. Lavorato;</w:t>
      </w:r>
    </w:p>
    <w:p>
      <w:pPr>
        <w:pStyle w:val="Normal"/>
        <w:rPr/>
      </w:pPr>
      <w:r>
        <w:rPr/>
      </w:r>
    </w:p>
    <w:p>
      <w:pPr>
        <w:pStyle w:val="Normal"/>
        <w:rPr/>
      </w:pPr>
      <w:r>
        <w:rPr/>
        <w:tab/>
        <w:t>2.</w:t>
        <w:tab/>
        <w:t>The representations and warranties of Sellers made in the Agreement will be tied to the “Assets” (as defined in Section 2.1) at signing and at closing;</w:t>
      </w:r>
    </w:p>
    <w:p>
      <w:pPr>
        <w:pStyle w:val="Normal"/>
        <w:rPr/>
      </w:pPr>
      <w:r>
        <w:rPr/>
      </w:r>
    </w:p>
    <w:p>
      <w:pPr>
        <w:pStyle w:val="Normal"/>
        <w:rPr/>
      </w:pPr>
      <w:r>
        <w:rPr/>
        <w:tab/>
        <w:t>3.</w:t>
        <w:tab/>
        <w:t>The parties acknowledge that they may update Schedule 2.1 following the execution of the Agreement and prior to signing upon the mutual agreement of the parties;</w:t>
      </w:r>
    </w:p>
    <w:p>
      <w:pPr>
        <w:pStyle w:val="Normal"/>
        <w:rPr/>
      </w:pPr>
      <w:r>
        <w:rPr/>
      </w:r>
    </w:p>
    <w:p>
      <w:pPr>
        <w:pStyle w:val="Normal"/>
        <w:rPr/>
      </w:pPr>
      <w:r>
        <w:rPr/>
        <w:tab/>
        <w:t>4.</w:t>
        <w:tab/>
        <w:t>The parties will covenant that from and after the execution of the Agreement that they shall cooperate to identify any additional assets that should have been listed as part of the “Assets” under the Agreement.  Later identified assets will be deemed “Assets” for purposes of the representations and warranties, but not for purposes of bringing down the closing conditions;</w:t>
      </w:r>
    </w:p>
    <w:p>
      <w:pPr>
        <w:pStyle w:val="Normal"/>
        <w:rPr/>
      </w:pPr>
      <w:r>
        <w:rPr/>
      </w:r>
    </w:p>
    <w:p>
      <w:pPr>
        <w:pStyle w:val="Normal"/>
        <w:rPr/>
      </w:pPr>
      <w:r>
        <w:rPr/>
        <w:tab/>
        <w:t>5.</w:t>
        <w:tab/>
        <w:t>The indemnification provisions under the Agreement should be tied to the “Assets”;</w:t>
      </w:r>
    </w:p>
    <w:p>
      <w:pPr>
        <w:pStyle w:val="Normal"/>
        <w:rPr/>
      </w:pPr>
      <w:r>
        <w:rPr/>
      </w:r>
    </w:p>
    <w:p>
      <w:pPr>
        <w:pStyle w:val="Normal"/>
        <w:ind w:firstLine="720" w:end="0"/>
        <w:rPr/>
      </w:pPr>
      <w:r>
        <w:rPr/>
        <w:t>6.</w:t>
        <w:tab/>
        <w:t>To the extent that E identifies an item as an “Asset” and offers such item to C, and C decides not to take such item, C shall not be entitled to a claim for indemnification under the Agreement;</w:t>
      </w:r>
    </w:p>
    <w:p>
      <w:pPr>
        <w:pStyle w:val="Normal"/>
        <w:ind w:firstLine="720" w:end="0"/>
        <w:rPr/>
      </w:pPr>
      <w:r>
        <w:rPr/>
      </w:r>
    </w:p>
    <w:p>
      <w:pPr>
        <w:pStyle w:val="Normal"/>
        <w:ind w:firstLine="720" w:end="0"/>
        <w:rPr/>
      </w:pPr>
      <w:r>
        <w:rPr/>
        <w:t>7.</w:t>
        <w:tab/>
        <w:t>The transfer of the “Assets” to C will be at E’s expense (other than costs associated with C acquiring assets that by their terms are not transferrable); and</w:t>
      </w:r>
    </w:p>
    <w:p>
      <w:pPr>
        <w:pStyle w:val="Normal"/>
        <w:ind w:firstLine="720" w:end="0"/>
        <w:rPr/>
      </w:pPr>
      <w:r>
        <w:rPr/>
      </w:r>
    </w:p>
    <w:p>
      <w:pPr>
        <w:pStyle w:val="Normal"/>
        <w:ind w:firstLine="720" w:end="0"/>
        <w:rPr/>
      </w:pPr>
      <w:r>
        <w:rPr/>
        <w:t>8.</w:t>
        <w:tab/>
        <w:t>The sufficiency representation contained in the Agreement will be tied to the “Assets” listed in Section 2.1 and to certain assets which will be excluded (non-transferrable governmental licenses and software licenses that cannot be transferred) and referenced in Section 2.2.</w:t>
      </w:r>
    </w:p>
    <w:p>
      <w:pPr>
        <w:pStyle w:val="Normal"/>
        <w:rPr/>
      </w:pPr>
      <w:r>
        <w:rPr/>
      </w:r>
    </w:p>
    <w:p>
      <w:pPr>
        <w:pStyle w:val="Normal"/>
        <w:rPr/>
      </w:pPr>
      <w:r>
        <w:rPr/>
        <w:tab/>
        <w:t xml:space="preserve">After you have had a chance to review the attached, please contact us with any questions you may have.  </w:t>
      </w:r>
    </w:p>
    <w:sectPr>
      <w:headerReference w:type="default" r:id="rId2"/>
      <w:headerReference w:type="first" r:id="rId3"/>
      <w:footerReference w:type="default" r:id="rId4"/>
      <w:footerReference w:type="first" r:id="rId5"/>
      <w:type w:val="nextPage"/>
      <w:pgSz w:w="12240" w:h="15840"/>
      <w:pgMar w:left="1800" w:right="1800" w:gutter="0" w:header="432"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altName w:val="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DA1:\284711\01\63_N01!.DOC\43889.0003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DA1:\284711\01\63_N01!.DOC\43889.0003</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TrailerWGM">
    <w:name w:val="Trailer WGM"/>
    <w:basedOn w:val="DefaultParagraphFont"/>
    <w:qFormat/>
    <w:rPr>
      <w:caps/>
      <w:sz w:val="16"/>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6"/>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4"/>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5"/>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Century Gothic" w:hAnsi="EngraversGothic BT;Century Gothic" w:cs="EngraversGothic BT;Century Gothic"/>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DeliveryMethod">
    <w:name w:val="Delivery Method"/>
    <w:basedOn w:val="Normal"/>
    <w:next w:val="Normal"/>
    <w:qFormat/>
    <w:pPr>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2001-12-19T19:43:00Z</dcterms:created>
  <dc:creator>WGM User</dc:creator>
  <dc:description/>
  <cp:keywords>DocsOpen Name: #284711 v1 - summary of asset transfer construct</cp:keywords>
  <dc:language>en-CA</dc:language>
  <cp:lastModifiedBy>WGM User</cp:lastModifiedBy>
  <dcterms:modified xsi:type="dcterms:W3CDTF">2001-12-19T20:35:00Z</dcterms:modified>
  <cp:revision>5</cp:revision>
  <dc:subject>DocsOpen Loc:F:\DATA\DA1\QUATTROC\MEM\63_N01!.DOC</dc:subject>
  <dc:title>Summary of construct for transfer of “Assets”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DA1:\284711\01\63_N01!.DOC\43889.0003</vt:lpwstr>
  </property>
</Properties>
</file>