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t xml:space="preserve">AGENDA </w:t>
      </w:r>
    </w:p>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u w:val="single"/>
        </w:rPr>
      </w:pPr>
      <w:r>
        <w:rPr>
          <w:rFonts w:cs="Times New Roman" w:ascii="Times New Roman" w:hAnsi="Times New Roman"/>
          <w:b/>
          <w:sz w:val="24"/>
          <w:u w:val="single"/>
        </w:rPr>
        <w:t>ORDER 637 - OPERATIONAL PROVISIONS</w:t>
      </w:r>
    </w:p>
    <w:p>
      <w:pPr>
        <w:pStyle w:val="PlainText"/>
        <w:jc w:val="both"/>
        <w:rPr>
          <w:rFonts w:ascii="Times New Roman" w:hAnsi="Times New Roman" w:cs="Times New Roman"/>
          <w:b/>
          <w:sz w:val="24"/>
          <w:u w:val="single"/>
        </w:rPr>
      </w:pPr>
      <w:r>
        <w:rPr>
          <w:rFonts w:cs="Times New Roman" w:ascii="Times New Roman" w:hAnsi="Times New Roman"/>
          <w:b/>
          <w:sz w:val="24"/>
          <w:u w:val="single"/>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6"/>
        </w:numPr>
        <w:jc w:val="both"/>
        <w:rPr>
          <w:rFonts w:ascii="Times New Roman" w:hAnsi="Times New Roman" w:cs="Times New Roman"/>
          <w:b/>
          <w:sz w:val="24"/>
          <w:u w:val="single"/>
        </w:rPr>
      </w:pPr>
      <w:r>
        <w:rPr>
          <w:rFonts w:cs="Times New Roman" w:ascii="Times New Roman" w:hAnsi="Times New Roman"/>
          <w:b/>
          <w:sz w:val="24"/>
          <w:u w:val="single"/>
        </w:rPr>
        <w:t>Scheduling Equality for Capacity Release</w:t>
      </w:r>
    </w:p>
    <w:p>
      <w:pPr>
        <w:pStyle w:val="PlainText"/>
        <w:ind w:start="360" w:end="0"/>
        <w:rPr>
          <w:rFonts w:ascii="Times New Roman" w:hAnsi="Times New Roman" w:cs="Times New Roman"/>
          <w:i/>
          <w:i/>
          <w:sz w:val="24"/>
        </w:rPr>
      </w:pPr>
      <w:r>
        <w:rPr>
          <w:rFonts w:cs="Times New Roman" w:ascii="Times New Roman" w:hAnsi="Times New Roman"/>
          <w:i/>
          <w:sz w:val="24"/>
        </w:rPr>
        <w:t xml:space="preserve">Pipelines must permit shippers acquiring released capacity to submit a nomination at the earliest available nomination opportunity after the acquisition of capacity.  If the pipeline requires the replacement shipper to enter into a contract, the contract must be issued within one hour after the pipeline has been notified of the release, but the requirement for contracting must not inhibit the ability of the replacement shipper to submit a nomination at the earliest available nomination opportunity.  </w:t>
      </w:r>
    </w:p>
    <w:p>
      <w:pPr>
        <w:pStyle w:val="PlainText"/>
        <w:jc w:val="both"/>
        <w:rPr>
          <w:rFonts w:ascii="Times New Roman" w:hAnsi="Times New Roman" w:cs="Times New Roman"/>
          <w:i/>
          <w:i/>
          <w:sz w:val="24"/>
          <w:u w:val="single"/>
        </w:rPr>
      </w:pPr>
      <w:r>
        <w:rPr>
          <w:rFonts w:cs="Times New Roman" w:ascii="Times New Roman" w:hAnsi="Times New Roman"/>
          <w:i/>
          <w:sz w:val="24"/>
          <w:u w:val="single"/>
        </w:rPr>
      </w:r>
    </w:p>
    <w:p>
      <w:pPr>
        <w:pStyle w:val="PlainText"/>
        <w:numPr>
          <w:ilvl w:val="0"/>
          <w:numId w:val="5"/>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Agree on GPG Interpretation.  Does this mean that we must permit capacity release shippers to complete non-biddable, pre-arranged transactions up to one hour prior to each intraday nomination window and submit nominations at each intraday cycle?</w:t>
      </w:r>
    </w:p>
    <w:p>
      <w:pPr>
        <w:pStyle w:val="PlainText"/>
        <w:numPr>
          <w:ilvl w:val="0"/>
          <w:numId w:val="5"/>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 xml:space="preserve">Are current contract systems set up for partial day MDQ? </w:t>
      </w:r>
    </w:p>
    <w:p>
      <w:pPr>
        <w:pStyle w:val="PlainText"/>
        <w:numPr>
          <w:ilvl w:val="0"/>
          <w:numId w:val="5"/>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Isn't it hard to ask for rehearing of this and simultaneously have any expectation of getting hourly firm service?</w:t>
      </w:r>
    </w:p>
    <w:p>
      <w:pPr>
        <w:pStyle w:val="PlainText"/>
        <w:ind w:start="1080" w:end="0"/>
        <w:rPr>
          <w:rFonts w:ascii="Times New Roman" w:hAnsi="Times New Roman" w:cs="Times New Roman"/>
          <w:i/>
          <w:i/>
          <w:sz w:val="24"/>
        </w:rPr>
      </w:pPr>
      <w:r>
        <w:rPr>
          <w:rFonts w:cs="Times New Roman" w:ascii="Times New Roman" w:hAnsi="Times New Roman"/>
          <w:i/>
          <w:sz w:val="24"/>
        </w:rPr>
      </w:r>
    </w:p>
    <w:p>
      <w:pPr>
        <w:pStyle w:val="PlainText"/>
        <w:ind w:start="720" w:end="0"/>
        <w:rPr>
          <w:rFonts w:ascii="Times New Roman" w:hAnsi="Times New Roman" w:cs="Times New Roman"/>
          <w:i/>
          <w:i/>
          <w:sz w:val="24"/>
        </w:rPr>
      </w:pPr>
      <w:r>
        <w:rPr>
          <w:rFonts w:cs="Times New Roman" w:ascii="Times New Roman" w:hAnsi="Times New Roman"/>
          <w:i/>
          <w:sz w:val="24"/>
        </w:rPr>
      </w:r>
    </w:p>
    <w:p>
      <w:pPr>
        <w:pStyle w:val="PlainText"/>
        <w:numPr>
          <w:ilvl w:val="0"/>
          <w:numId w:val="6"/>
        </w:numPr>
        <w:rPr>
          <w:rFonts w:ascii="Times New Roman" w:hAnsi="Times New Roman" w:cs="Times New Roman"/>
          <w:b/>
          <w:sz w:val="24"/>
          <w:u w:val="single"/>
        </w:rPr>
      </w:pPr>
      <w:r>
        <w:rPr>
          <w:rFonts w:cs="Times New Roman" w:ascii="Times New Roman" w:hAnsi="Times New Roman"/>
          <w:b/>
          <w:sz w:val="24"/>
          <w:u w:val="single"/>
        </w:rPr>
        <w:t xml:space="preserve">Segmentation </w:t>
      </w:r>
    </w:p>
    <w:p>
      <w:pPr>
        <w:pStyle w:val="PlainText"/>
        <w:ind w:start="360" w:end="0"/>
        <w:rPr>
          <w:rFonts w:ascii="Times New Roman" w:hAnsi="Times New Roman" w:cs="Times New Roman"/>
          <w:i/>
          <w:i/>
          <w:sz w:val="24"/>
        </w:rPr>
      </w:pPr>
      <w:r>
        <w:rPr>
          <w:rFonts w:cs="Times New Roman" w:ascii="Times New Roman" w:hAnsi="Times New Roman"/>
          <w:i/>
          <w:sz w:val="24"/>
        </w:rPr>
        <w:t>An interstate pipeline that offers transportation service under subpart B or G of this part must permit a shipper to make use of the firm capacity for which it has contracted by segmenting that capacity into separate parts for its own use or for the purpose of releasing that capacity to replacement shippers to the extent such segmentation is operationally feasible.</w:t>
      </w:r>
    </w:p>
    <w:p>
      <w:pPr>
        <w:pStyle w:val="PlainText"/>
        <w:rPr>
          <w:rFonts w:ascii="Times New Roman" w:hAnsi="Times New Roman" w:cs="Times New Roman"/>
          <w:b/>
          <w:i/>
          <w:i/>
          <w:sz w:val="24"/>
          <w:u w:val="single"/>
        </w:rPr>
      </w:pPr>
      <w:r>
        <w:rPr>
          <w:rFonts w:cs="Times New Roman" w:ascii="Times New Roman" w:hAnsi="Times New Roman"/>
          <w:b/>
          <w:i/>
          <w:sz w:val="24"/>
          <w:u w:val="single"/>
        </w:rPr>
      </w:r>
    </w:p>
    <w:p>
      <w:pPr>
        <w:pStyle w:val="PlainText"/>
        <w:numPr>
          <w:ilvl w:val="0"/>
          <w:numId w:val="2"/>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Gives us opportunity to propose more limited segmentation program for operational reasons.  Can we do any better than this on a generic basis?</w:t>
      </w:r>
    </w:p>
    <w:p>
      <w:pPr>
        <w:pStyle w:val="PlainText"/>
        <w:numPr>
          <w:ilvl w:val="0"/>
          <w:numId w:val="2"/>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 xml:space="preserve">Order says that the fact that a more limited tariff was approved during 636 proceeding </w:t>
      </w:r>
      <w:r>
        <w:rPr>
          <w:rFonts w:cs="Times New Roman" w:ascii="Times New Roman" w:hAnsi="Times New Roman"/>
          <w:sz w:val="24"/>
          <w:u w:val="single"/>
        </w:rPr>
        <w:t>is not</w:t>
      </w:r>
      <w:r>
        <w:rPr>
          <w:rFonts w:cs="Times New Roman" w:ascii="Times New Roman" w:hAnsi="Times New Roman"/>
          <w:sz w:val="24"/>
        </w:rPr>
        <w:t xml:space="preserve"> a sufficient excuse to avoid new regulation.</w:t>
      </w:r>
    </w:p>
    <w:p>
      <w:pPr>
        <w:pStyle w:val="PlainText"/>
        <w:numPr>
          <w:ilvl w:val="0"/>
          <w:numId w:val="11"/>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 xml:space="preserve">Should we press for the limitations in the recent </w:t>
      </w:r>
      <w:r>
        <w:rPr>
          <w:rFonts w:cs="Times New Roman" w:ascii="Times New Roman" w:hAnsi="Times New Roman"/>
          <w:sz w:val="24"/>
          <w:u w:val="single"/>
        </w:rPr>
        <w:t xml:space="preserve">Tennessee </w:t>
      </w:r>
      <w:r>
        <w:rPr>
          <w:rFonts w:cs="Times New Roman" w:ascii="Times New Roman" w:hAnsi="Times New Roman"/>
          <w:sz w:val="24"/>
        </w:rPr>
        <w:t>case?  This is the case where the Commission found that shippers do not have a right to release overlapping segments or to have the releasing and replacement shippers submit nominations that would have the effect of exceeding the contract demand of the original contract on any segment of the pipeline.</w:t>
      </w:r>
    </w:p>
    <w:p>
      <w:pPr>
        <w:pStyle w:val="PlainText"/>
        <w:numPr>
          <w:ilvl w:val="0"/>
          <w:numId w:val="10"/>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 xml:space="preserve">It is difficult to seek rehearing of this requirement, as segmentation is already Commission policy. </w:t>
      </w:r>
    </w:p>
    <w:p>
      <w:pPr>
        <w:pStyle w:val="PlainText"/>
        <w:numPr>
          <w:ilvl w:val="0"/>
          <w:numId w:val="10"/>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Possible grounds for rehearing -- Commission should not upset existing rate settlements (i.e. Transwestern global settlement).  The problem with this grandfathered argument is that it might cut against ability to file seasonal/term-differentiated proposals?</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numPr>
          <w:ilvl w:val="0"/>
          <w:numId w:val="6"/>
        </w:numPr>
        <w:rPr>
          <w:rFonts w:ascii="Times New Roman" w:hAnsi="Times New Roman" w:cs="Times New Roman"/>
          <w:b/>
          <w:sz w:val="24"/>
          <w:u w:val="single"/>
        </w:rPr>
      </w:pPr>
      <w:r>
        <w:rPr>
          <w:rFonts w:cs="Times New Roman" w:ascii="Times New Roman" w:hAnsi="Times New Roman"/>
          <w:b/>
          <w:sz w:val="24"/>
          <w:u w:val="single"/>
        </w:rPr>
        <w:t xml:space="preserve">Imbalance Management </w:t>
      </w:r>
    </w:p>
    <w:p>
      <w:pPr>
        <w:pStyle w:val="PlainText"/>
        <w:ind w:start="360" w:end="0"/>
        <w:rPr>
          <w:rFonts w:ascii="Times New Roman" w:hAnsi="Times New Roman" w:cs="Times New Roman"/>
          <w:i/>
          <w:i/>
          <w:sz w:val="24"/>
        </w:rPr>
      </w:pPr>
      <w:r>
        <w:rPr>
          <w:rFonts w:cs="Times New Roman" w:ascii="Times New Roman" w:hAnsi="Times New Roman"/>
          <w:i/>
          <w:sz w:val="24"/>
        </w:rPr>
        <w:t xml:space="preserve">A pipeline must provide, to the extent operationally practicable, parking and lending or other services that facilitate the ability of its shippers to manage transportation imbalances.  A pipeline also must provide its shippers the opportunity to obtain similar imbalance management services from other providers and shall provide those shippers using other providers access to transportation and other pipeline services without undue discrimination or preference. </w:t>
      </w:r>
    </w:p>
    <w:p>
      <w:pPr>
        <w:pStyle w:val="PlainText"/>
        <w:ind w:start="360" w:end="0"/>
        <w:rPr>
          <w:rFonts w:ascii="Times New Roman" w:hAnsi="Times New Roman" w:cs="Times New Roman"/>
          <w:b/>
          <w:i/>
          <w:i/>
          <w:sz w:val="24"/>
          <w:u w:val="single"/>
        </w:rPr>
      </w:pPr>
      <w:r>
        <w:rPr>
          <w:rFonts w:cs="Times New Roman" w:ascii="Times New Roman" w:hAnsi="Times New Roman"/>
          <w:b/>
          <w:i/>
          <w:sz w:val="24"/>
          <w:u w:val="single"/>
        </w:rPr>
      </w:r>
    </w:p>
    <w:p>
      <w:pPr>
        <w:pStyle w:val="PlainText"/>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FGT/TW/NNG already offer parking and lending service.</w:t>
      </w:r>
    </w:p>
    <w:p>
      <w:pPr>
        <w:pStyle w:val="PlainText"/>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Must also provide opportunity to obtain similar imbalance management services from 3</w:t>
      </w:r>
      <w:r>
        <w:rPr>
          <w:rFonts w:cs="Times New Roman" w:ascii="Times New Roman" w:hAnsi="Times New Roman"/>
          <w:sz w:val="24"/>
          <w:vertAlign w:val="superscript"/>
        </w:rPr>
        <w:t>rd</w:t>
      </w:r>
      <w:r>
        <w:rPr>
          <w:rFonts w:cs="Times New Roman" w:ascii="Times New Roman" w:hAnsi="Times New Roman"/>
          <w:sz w:val="24"/>
        </w:rPr>
        <w:t xml:space="preserve"> parties.  This isn’t implementable.</w:t>
      </w:r>
    </w:p>
    <w:p>
      <w:pPr>
        <w:pStyle w:val="PlainText"/>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 xml:space="preserve">Beyond the literal text of the regulation it is not clear what the Commission expects. “Imbalance management services should be designed to provide financial incentives to remain in balance, rather than the negative incentives provided by penalties.”   Should we take them up on this logic and propose daily valuation of cash out? </w:t>
      </w:r>
    </w:p>
    <w:p>
      <w:pPr>
        <w:pStyle w:val="PlainText"/>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We will not be permitted to implement the new imbalance services until we implement imbalance netting and trading.  FGT currently has imbalance netting/trading program in its tariff which will meet GISB netting/trading standards.  NNG netting/trading doesn't meet GISB timeline.  No TW or NBPL netting/trading programs?</w:t>
      </w:r>
    </w:p>
    <w:p>
      <w:pPr>
        <w:pStyle w:val="PlainText"/>
        <w:numPr>
          <w:ilvl w:val="0"/>
          <w:numId w:val="7"/>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Any rehearing issues?</w:t>
      </w:r>
    </w:p>
    <w:p>
      <w:pPr>
        <w:pStyle w:val="PlainText"/>
        <w:ind w:start="360" w:end="0"/>
        <w:rPr>
          <w:rFonts w:ascii="Times New Roman" w:hAnsi="Times New Roman" w:cs="Times New Roman"/>
          <w:b/>
          <w:sz w:val="24"/>
          <w:u w:val="single"/>
        </w:rPr>
      </w:pPr>
      <w:r>
        <w:rPr>
          <w:rFonts w:cs="Times New Roman" w:ascii="Times New Roman" w:hAnsi="Times New Roman"/>
          <w:b/>
          <w:sz w:val="24"/>
          <w:u w:val="single"/>
        </w:rPr>
      </w:r>
    </w:p>
    <w:p>
      <w:pPr>
        <w:pStyle w:val="PlainText"/>
        <w:ind w:start="360" w:end="0"/>
        <w:rPr>
          <w:rFonts w:ascii="Times New Roman" w:hAnsi="Times New Roman" w:cs="Times New Roman"/>
          <w:b/>
          <w:sz w:val="24"/>
          <w:u w:val="single"/>
        </w:rPr>
      </w:pPr>
      <w:r>
        <w:rPr>
          <w:rFonts w:cs="Times New Roman" w:ascii="Times New Roman" w:hAnsi="Times New Roman"/>
          <w:b/>
          <w:sz w:val="24"/>
          <w:u w:val="single"/>
        </w:rPr>
      </w:r>
    </w:p>
    <w:p>
      <w:pPr>
        <w:pStyle w:val="PlainText"/>
        <w:numPr>
          <w:ilvl w:val="0"/>
          <w:numId w:val="6"/>
        </w:numPr>
        <w:rPr>
          <w:rFonts w:ascii="Times New Roman" w:hAnsi="Times New Roman" w:cs="Times New Roman"/>
          <w:b/>
          <w:sz w:val="24"/>
          <w:u w:val="single"/>
        </w:rPr>
      </w:pPr>
      <w:r>
        <w:rPr>
          <w:rFonts w:cs="Times New Roman" w:ascii="Times New Roman" w:hAnsi="Times New Roman"/>
          <w:b/>
          <w:sz w:val="24"/>
          <w:u w:val="single"/>
        </w:rPr>
        <w:t xml:space="preserve">OFOs </w:t>
      </w:r>
    </w:p>
    <w:p>
      <w:pPr>
        <w:pStyle w:val="PlainText"/>
        <w:ind w:start="720" w:end="0"/>
        <w:rPr>
          <w:rFonts w:ascii="Times New Roman" w:hAnsi="Times New Roman" w:cs="Times New Roman"/>
          <w:i/>
          <w:i/>
          <w:sz w:val="24"/>
        </w:rPr>
      </w:pPr>
      <w:r>
        <w:rPr>
          <w:rFonts w:cs="Times New Roman" w:ascii="Times New Roman" w:hAnsi="Times New Roman"/>
          <w:i/>
          <w:sz w:val="24"/>
        </w:rPr>
        <w:t xml:space="preserve">A pipeline must take all reasonable actions to minimize the issuance and adverse impacts of operational flow orders (OFOs) or other measures taken to respond to adverse operational events on its system.  A pipeline must set forth in its tariff clear standards for when such measures will begin and end and must provide timely information that will enable shippers to minimize the adverse impacts of these measures.  </w:t>
      </w:r>
    </w:p>
    <w:p>
      <w:pPr>
        <w:pStyle w:val="PlainText"/>
        <w:rPr>
          <w:rFonts w:ascii="Times New Roman" w:hAnsi="Times New Roman" w:cs="Times New Roman"/>
          <w:b/>
          <w:i/>
          <w:i/>
          <w:sz w:val="24"/>
          <w:u w:val="single"/>
        </w:rPr>
      </w:pPr>
      <w:r>
        <w:rPr>
          <w:rFonts w:cs="Times New Roman" w:ascii="Times New Roman" w:hAnsi="Times New Roman"/>
          <w:b/>
          <w:i/>
          <w:sz w:val="24"/>
          <w:u w:val="single"/>
        </w:rPr>
      </w:r>
    </w:p>
    <w:p>
      <w:pPr>
        <w:pStyle w:val="PlainText"/>
        <w:numPr>
          <w:ilvl w:val="0"/>
          <w:numId w:val="8"/>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 xml:space="preserve">Preamble goes beyond regulation and says we must also state the steps and order of operational remedies that will be followed before an OFO is issued to assure that the OFO has the most limited application </w:t>
      </w:r>
    </w:p>
    <w:p>
      <w:pPr>
        <w:pStyle w:val="PlainText"/>
        <w:numPr>
          <w:ilvl w:val="0"/>
          <w:numId w:val="8"/>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 xml:space="preserve">Do we want to seek rehearing to keep fighting that OFOs should be the first choice when you can target the offending shipper and such shipper has not bought an imbalance service?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numPr>
          <w:ilvl w:val="0"/>
          <w:numId w:val="6"/>
        </w:numPr>
        <w:rPr>
          <w:rFonts w:ascii="Times New Roman" w:hAnsi="Times New Roman" w:cs="Times New Roman"/>
          <w:b/>
          <w:sz w:val="24"/>
          <w:u w:val="single"/>
        </w:rPr>
      </w:pPr>
      <w:r>
        <w:rPr>
          <w:rFonts w:cs="Times New Roman" w:ascii="Times New Roman" w:hAnsi="Times New Roman"/>
          <w:b/>
          <w:sz w:val="24"/>
          <w:u w:val="single"/>
        </w:rPr>
        <w:t>Penalties</w:t>
      </w:r>
    </w:p>
    <w:p>
      <w:pPr>
        <w:pStyle w:val="PlainText"/>
        <w:ind w:start="720" w:end="0"/>
        <w:rPr/>
      </w:pPr>
      <w:r>
        <w:rPr>
          <w:rFonts w:cs="Times New Roman" w:ascii="Times New Roman" w:hAnsi="Times New Roman"/>
          <w:i/>
          <w:sz w:val="24"/>
        </w:rPr>
        <w:t>A pipeline may include in its tariff transportation penalties only to the extent necessary to prevent the impairment of reliable service.  Pipeline may not retain net penalty revenues, but must credit them to shippers in a manner to be prescribed in the pipeline’s tariff.  A pipeline must provide to shippers, on a timely basis, as much information as possible about the imbalance and overrun status of each shipper and the imbalance of the pipeline’s system</w:t>
      </w:r>
      <w:r>
        <w:rPr>
          <w:rFonts w:cs="Times New Roman" w:ascii="Times New Roman" w:hAnsi="Times New Roman"/>
          <w:sz w:val="24"/>
        </w:rPr>
        <w:t xml:space="preserve">.  </w:t>
      </w:r>
    </w:p>
    <w:p>
      <w:pPr>
        <w:pStyle w:val="PlainText"/>
        <w:rPr>
          <w:rFonts w:ascii="Times New Roman" w:hAnsi="Times New Roman" w:cs="Times New Roman"/>
          <w:b/>
          <w:sz w:val="24"/>
          <w:u w:val="single"/>
        </w:rPr>
      </w:pPr>
      <w:r>
        <w:rPr>
          <w:rFonts w:cs="Times New Roman" w:ascii="Times New Roman" w:hAnsi="Times New Roman"/>
          <w:b/>
          <w:sz w:val="24"/>
          <w:u w:val="single"/>
        </w:rPr>
      </w:r>
    </w:p>
    <w:p>
      <w:pPr>
        <w:pStyle w:val="PlainText"/>
        <w:numPr>
          <w:ilvl w:val="0"/>
          <w:numId w:val="4"/>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Must demonstrate that we have only the penalties necessary</w:t>
      </w:r>
    </w:p>
    <w:p>
      <w:pPr>
        <w:pStyle w:val="PlainText"/>
        <w:numPr>
          <w:ilvl w:val="0"/>
          <w:numId w:val="4"/>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May not retain net penalty revenues &amp; must include crediting mechanism in tariff.  FGT already has mechanism to credit excess penalty revenues.  Can we argue NNG's SLA account is a penalty crediting mechanism?</w:t>
      </w:r>
    </w:p>
    <w:p>
      <w:pPr>
        <w:pStyle w:val="PlainText"/>
        <w:numPr>
          <w:ilvl w:val="0"/>
          <w:numId w:val="3"/>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 xml:space="preserve">Provide imbalance and overrun status to each shipper </w:t>
      </w:r>
    </w:p>
    <w:p>
      <w:pPr>
        <w:pStyle w:val="PlainText"/>
        <w:numPr>
          <w:ilvl w:val="0"/>
          <w:numId w:val="9"/>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Non-critical penalties should only be imposed where timely imbalance status is available to the shipper (critical period penalties may be imposed regardless of whether real-time imbalance status information can be made available).</w:t>
      </w:r>
    </w:p>
    <w:p>
      <w:pPr>
        <w:pStyle w:val="PlainText"/>
        <w:numPr>
          <w:ilvl w:val="0"/>
          <w:numId w:val="9"/>
        </w:numPr>
        <w:tabs>
          <w:tab w:val="left" w:pos="720" w:leader="none"/>
        </w:tabs>
        <w:ind w:hanging="360" w:start="720" w:end="0"/>
        <w:rPr>
          <w:rFonts w:ascii="Times New Roman" w:hAnsi="Times New Roman" w:cs="Times New Roman"/>
          <w:sz w:val="24"/>
        </w:rPr>
      </w:pPr>
      <w:r>
        <w:rPr>
          <w:rFonts w:cs="Times New Roman" w:ascii="Times New Roman" w:hAnsi="Times New Roman"/>
          <w:sz w:val="24"/>
        </w:rPr>
        <w:t>Probably no rehearing arguments?</w:t>
      </w:r>
    </w:p>
    <w:sectPr>
      <w:footerReference w:type="default" r:id="rId2"/>
      <w:footerReference w:type="first" r:id="rId3"/>
      <w:type w:val="nextPage"/>
      <w:pgSz w:w="12240" w:h="15840"/>
      <w:pgMar w:left="1440" w:right="1440" w:gutter="0" w:header="0" w:top="900" w:footer="576" w:bottom="6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ind w:hanging="540" w:start="540" w:end="0"/>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Wingdings" w:hAnsi="Wingdings" w:cs="Wingdings"/>
    </w:rPr>
  </w:style>
  <w:style w:type="character" w:styleId="WW8Num98z0">
    <w:name w:val="WW8Num98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Times New Roman" w:hAnsi="Times New Roman" w:cs="Times New Roman"/>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432" w:leader="none"/>
      </w:tabs>
      <w:ind w:hanging="0" w:start="432" w:end="0"/>
      <w:jc w:val="both"/>
    </w:pPr>
    <w:rPr>
      <w:rFonts w:ascii="Times New Roman" w:hAnsi="Times New Roman" w:cs="Times New Roman"/>
      <w:sz w:val="24"/>
    </w:rPr>
  </w:style>
  <w:style w:type="paragraph" w:styleId="BodyTextIndent2">
    <w:name w:val="Body Text Indent 2"/>
    <w:basedOn w:val="Normal"/>
    <w:qFormat/>
    <w:pPr>
      <w:tabs>
        <w:tab w:val="left" w:pos="720" w:leader="none"/>
      </w:tabs>
      <w:ind w:hanging="720" w:start="72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left" w:pos="720" w:leader="none"/>
      </w:tabs>
      <w:ind w:hanging="0" w:start="720" w:end="0"/>
      <w:jc w:val="both"/>
    </w:pPr>
    <w:rPr>
      <w:rFonts w:ascii="Times New Roman" w:hAnsi="Times New Roman" w:cs="Times New Roman"/>
      <w:sz w:val="24"/>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2000-02-23T19:37:00Z</dcterms:created>
  <dc:creator>ET&amp;S LAN Support</dc:creator>
  <dc:description/>
  <dc:language>en-CA</dc:language>
  <cp:lastModifiedBy>scorman</cp:lastModifiedBy>
  <cp:lastPrinted>2000-02-16T07:25:00Z</cp:lastPrinted>
  <dcterms:modified xsi:type="dcterms:W3CDTF">2000-02-23T19:37:00Z</dcterms:modified>
  <cp:revision>2</cp:revision>
  <dc:subject/>
  <dc:title>RECENT FEDERAL ENERGY REGULATORY COMMISSION RULEMAKING PROCEEDINGS IMPACTING THE NATURAL GAS INDUSTRY</dc:title>
</cp:coreProperties>
</file>