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firstLine="720" w:start="3600" w:end="0"/>
        <w:rPr>
          <w:b w:val="false"/>
          <w:i/>
          <w:i/>
        </w:rPr>
      </w:pPr>
      <w:r>
        <w:rPr>
          <w:b w:val="false"/>
          <w:i/>
        </w:rPr>
        <w:drawing>
          <wp:inline distT="0" distB="0" distL="0" distR="0">
            <wp:extent cx="2559050" cy="848995"/>
            <wp:effectExtent l="0" t="0" r="0" b="0"/>
            <wp:docPr id="1" nam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escr="" title=""/>
                    <pic:cNvPicPr>
                      <a:picLocks noChangeAspect="1" noChangeArrowheads="1"/>
                    </pic:cNvPicPr>
                  </pic:nvPicPr>
                  <pic:blipFill>
                    <a:blip r:embed="rId2"/>
                    <a:srcRect l="-10" t="-31" r="-10" b="-31"/>
                    <a:stretch>
                      <a:fillRect/>
                    </a:stretch>
                  </pic:blipFill>
                  <pic:spPr bwMode="auto">
                    <a:xfrm>
                      <a:off x="0" y="0"/>
                      <a:ext cx="2559050" cy="848995"/>
                    </a:xfrm>
                    <a:prstGeom prst="rect">
                      <a:avLst/>
                    </a:prstGeom>
                    <a:noFill/>
                  </pic:spPr>
                </pic:pic>
              </a:graphicData>
            </a:graphic>
          </wp:inline>
        </w:drawing>
      </w:r>
    </w:p>
    <w:p>
      <w:pPr>
        <w:pStyle w:val="Heading1"/>
        <w:ind w:hanging="0" w:start="0"/>
        <w:rPr/>
      </w:pPr>
      <w:r>
        <w:rPr/>
      </w:r>
    </w:p>
    <w:p>
      <w:pPr>
        <w:pStyle w:val="Heading1"/>
        <w:ind w:hanging="0" w:start="0"/>
        <w:rPr>
          <w:sz w:val="22"/>
        </w:rPr>
      </w:pPr>
      <w:r>
        <w:rPr>
          <w:sz w:val="22"/>
        </w:rPr>
        <w:t>637 Watch</w:t>
      </w:r>
    </w:p>
    <w:p>
      <w:pPr>
        <w:pStyle w:val="Normal"/>
        <w:rPr>
          <w:rFonts w:ascii="Verdana;Tahoma" w:hAnsi="Verdana;Tahoma" w:cs="Verdana;Tahoma"/>
          <w:b/>
        </w:rPr>
      </w:pPr>
      <w:r>
        <w:rPr>
          <w:rFonts w:cs="Verdana;Tahoma" w:ascii="Verdana;Tahoma" w:hAnsi="Verdana;Tahoma"/>
          <w:b/>
        </w:rPr>
        <w:t>Volume 1, Number 16</w:t>
      </w:r>
    </w:p>
    <w:p>
      <w:pPr>
        <w:pStyle w:val="Heading3"/>
        <w:ind w:hanging="0" w:start="0"/>
        <w:rPr>
          <w:b/>
          <w:sz w:val="20"/>
        </w:rPr>
      </w:pPr>
      <w:r>
        <w:rPr>
          <w:b/>
          <w:sz w:val="20"/>
        </w:rPr>
        <w:t>September 27 to October 3, 2000</w:t>
      </w:r>
    </w:p>
    <w:p>
      <w:pPr>
        <w:pStyle w:val="Normal"/>
        <w:rPr>
          <w:b/>
          <w:sz w:val="20"/>
        </w:rPr>
      </w:pPr>
      <w:r>
        <w:rPr>
          <w:b/>
          <w:sz w:val="20"/>
        </w:rPr>
      </w:r>
    </w:p>
    <w:p>
      <w:pPr>
        <w:pStyle w:val="Normal"/>
        <w:rPr/>
      </w:pPr>
      <w:r>
        <w:rPr/>
      </w:r>
    </w:p>
    <w:p>
      <w:pPr>
        <w:pStyle w:val="Heading1"/>
        <w:ind w:hanging="0" w:start="0"/>
        <w:rPr>
          <w:sz w:val="20"/>
        </w:rPr>
      </w:pPr>
      <w:r>
        <w:rPr>
          <w:sz w:val="20"/>
        </w:rPr>
      </w:r>
    </w:p>
    <w:p>
      <w:pPr>
        <w:pStyle w:val="Heading4"/>
        <w:ind w:hanging="0" w:start="0"/>
        <w:rPr/>
      </w:pPr>
      <w:r>
        <w:rPr/>
        <w:t>Table of Contents</w:t>
      </w:r>
    </w:p>
    <w:p>
      <w:pPr>
        <w:pStyle w:val="Heading1"/>
        <w:ind w:hanging="0" w:start="2880" w:end="0"/>
        <w:rPr>
          <w:sz w:val="20"/>
        </w:rPr>
      </w:pPr>
      <w:r>
        <w:rPr>
          <w:sz w:val="20"/>
        </w:rPr>
      </w:r>
    </w:p>
    <w:p>
      <w:pPr>
        <w:pStyle w:val="Heading1"/>
        <w:ind w:hanging="270" w:start="2880" w:end="0"/>
        <w:rPr>
          <w:sz w:val="20"/>
        </w:rPr>
      </w:pPr>
      <w:r>
        <w:rPr>
          <w:sz w:val="20"/>
        </w:rPr>
        <w:t>1. Settlement Conferences</w:t>
      </w:r>
    </w:p>
    <w:p>
      <w:pPr>
        <w:pStyle w:val="Heading1"/>
        <w:ind w:hanging="0" w:start="2880" w:end="0"/>
        <w:rPr>
          <w:sz w:val="20"/>
        </w:rPr>
      </w:pPr>
      <w:r>
        <w:rPr>
          <w:sz w:val="20"/>
        </w:rPr>
        <w:t>a. Columbia Gulf Transmission Company (Columbia Gulf)</w:t>
      </w:r>
    </w:p>
    <w:p>
      <w:pPr>
        <w:pStyle w:val="Normal"/>
        <w:ind w:firstLine="270" w:start="2880" w:end="0"/>
        <w:jc w:val="both"/>
        <w:rPr>
          <w:rFonts w:ascii="Verdana;Tahoma" w:hAnsi="Verdana;Tahoma" w:cs="Verdana;Tahoma"/>
        </w:rPr>
      </w:pPr>
      <w:r>
        <w:rPr>
          <w:rFonts w:cs="Verdana;Tahoma" w:ascii="Verdana;Tahoma" w:hAnsi="Verdana;Tahoma"/>
        </w:rPr>
        <w:t>Docket No. RP00-326-000</w:t>
      </w:r>
    </w:p>
    <w:p>
      <w:pPr>
        <w:pStyle w:val="Heading1"/>
        <w:ind w:hanging="0" w:start="2880" w:end="0"/>
        <w:rPr>
          <w:sz w:val="20"/>
        </w:rPr>
      </w:pPr>
      <w:r>
        <w:rPr>
          <w:sz w:val="20"/>
        </w:rPr>
        <w:t>b. Columbia Gas Transmission Company (Columbia Gas)</w:t>
      </w:r>
    </w:p>
    <w:p>
      <w:pPr>
        <w:pStyle w:val="Normal"/>
        <w:ind w:firstLine="270" w:start="2880" w:end="0"/>
        <w:jc w:val="both"/>
        <w:rPr>
          <w:rFonts w:ascii="Verdana;Tahoma" w:hAnsi="Verdana;Tahoma" w:cs="Verdana;Tahoma"/>
        </w:rPr>
      </w:pPr>
      <w:r>
        <w:rPr>
          <w:rFonts w:cs="Verdana;Tahoma" w:ascii="Verdana;Tahoma" w:hAnsi="Verdana;Tahoma"/>
        </w:rPr>
        <w:t>Docket No. RP00-326-000</w:t>
      </w:r>
    </w:p>
    <w:p>
      <w:pPr>
        <w:pStyle w:val="Normal"/>
        <w:ind w:start="2880" w:end="0"/>
        <w:jc w:val="both"/>
        <w:rPr>
          <w:rFonts w:ascii="Verdana;Tahoma" w:hAnsi="Verdana;Tahoma" w:cs="Verdana;Tahoma"/>
        </w:rPr>
      </w:pPr>
      <w:r>
        <w:rPr>
          <w:rFonts w:cs="Verdana;Tahoma" w:ascii="Verdana;Tahoma" w:hAnsi="Verdana;Tahoma"/>
        </w:rPr>
      </w:r>
    </w:p>
    <w:p>
      <w:pPr>
        <w:pStyle w:val="BodyTextIndent"/>
        <w:ind w:hanging="360" w:start="2970" w:end="0"/>
        <w:rPr/>
      </w:pPr>
      <w:r>
        <w:rPr/>
        <w:t>2. Answers To Comments and Protests to Pro Forma Compliance Filings</w:t>
      </w:r>
    </w:p>
    <w:p>
      <w:pPr>
        <w:pStyle w:val="Normal"/>
        <w:ind w:start="2880" w:end="0"/>
        <w:jc w:val="both"/>
        <w:rPr>
          <w:rFonts w:ascii="Verdana;Tahoma" w:hAnsi="Verdana;Tahoma" w:cs="Verdana;Tahoma"/>
          <w:b/>
        </w:rPr>
      </w:pPr>
      <w:r>
        <w:rPr>
          <w:rFonts w:cs="Verdana;Tahoma" w:ascii="Verdana;Tahoma" w:hAnsi="Verdana;Tahoma"/>
          <w:b/>
        </w:rPr>
        <w:t>a. El Paso Natural Gas Company (El Paso)</w:t>
      </w:r>
    </w:p>
    <w:p>
      <w:pPr>
        <w:pStyle w:val="Normal"/>
        <w:ind w:firstLine="270" w:start="2880" w:end="0"/>
        <w:jc w:val="both"/>
        <w:rPr>
          <w:rFonts w:ascii="Verdana;Tahoma" w:hAnsi="Verdana;Tahoma" w:cs="Verdana;Tahoma"/>
        </w:rPr>
      </w:pPr>
      <w:r>
        <w:rPr>
          <w:rFonts w:cs="Verdana;Tahoma" w:ascii="Verdana;Tahoma" w:hAnsi="Verdana;Tahoma"/>
        </w:rPr>
        <w:t>Docket No. RP00-336-001</w:t>
      </w:r>
    </w:p>
    <w:p>
      <w:pPr>
        <w:pStyle w:val="Normal"/>
        <w:ind w:start="2880" w:end="0"/>
        <w:jc w:val="both"/>
        <w:rPr>
          <w:rFonts w:ascii="Verdana;Tahoma" w:hAnsi="Verdana;Tahoma" w:cs="Verdana;Tahoma"/>
          <w:b/>
        </w:rPr>
      </w:pPr>
      <w:r>
        <w:rPr>
          <w:rFonts w:cs="Verdana;Tahoma" w:ascii="Verdana;Tahoma" w:hAnsi="Verdana;Tahoma"/>
          <w:b/>
        </w:rPr>
        <w:t xml:space="preserve">b. Mississippi Canyon Gas Pipeline, L.L.C. (Shell Gas </w:t>
      </w:r>
    </w:p>
    <w:p>
      <w:pPr>
        <w:pStyle w:val="Normal"/>
        <w:ind w:firstLine="270" w:start="2880" w:end="0"/>
        <w:jc w:val="both"/>
        <w:rPr>
          <w:rFonts w:ascii="Verdana;Tahoma" w:hAnsi="Verdana;Tahoma" w:cs="Verdana;Tahoma"/>
          <w:b/>
        </w:rPr>
      </w:pPr>
      <w:r>
        <w:rPr>
          <w:rFonts w:cs="Verdana;Tahoma" w:ascii="Verdana;Tahoma" w:hAnsi="Verdana;Tahoma"/>
          <w:b/>
        </w:rPr>
        <w:t>Pipeline)</w:t>
      </w:r>
    </w:p>
    <w:p>
      <w:pPr>
        <w:pStyle w:val="Normal"/>
        <w:ind w:firstLine="270" w:start="2880" w:end="0"/>
        <w:jc w:val="both"/>
        <w:rPr>
          <w:rFonts w:ascii="Verdana;Tahoma" w:hAnsi="Verdana;Tahoma" w:cs="Verdana;Tahoma"/>
        </w:rPr>
      </w:pPr>
      <w:r>
        <w:rPr>
          <w:rFonts w:cs="Verdana;Tahoma" w:ascii="Verdana;Tahoma" w:hAnsi="Verdana;Tahoma"/>
        </w:rPr>
        <w:t>Docket No. RP00-391-000</w:t>
      </w:r>
    </w:p>
    <w:p>
      <w:pPr>
        <w:pStyle w:val="Normal"/>
        <w:ind w:start="2880" w:end="0"/>
        <w:rPr>
          <w:rFonts w:ascii="Verdana;Tahoma" w:hAnsi="Verdana;Tahoma" w:cs="Verdana;Tahoma"/>
          <w:b/>
        </w:rPr>
      </w:pPr>
      <w:r>
        <w:rPr>
          <w:rFonts w:cs="Verdana;Tahoma" w:ascii="Verdana;Tahoma" w:hAnsi="Verdana;Tahoma"/>
          <w:b/>
        </w:rPr>
        <w:t>c. Nautilus Pipeline Company, L.L.C. (Nautilus)</w:t>
      </w:r>
    </w:p>
    <w:p>
      <w:pPr>
        <w:pStyle w:val="Normal"/>
        <w:ind w:firstLine="270" w:start="2880" w:end="0"/>
        <w:rPr>
          <w:rFonts w:ascii="Verdana;Tahoma" w:hAnsi="Verdana;Tahoma" w:cs="Verdana;Tahoma"/>
        </w:rPr>
      </w:pPr>
      <w:r>
        <w:rPr>
          <w:rFonts w:cs="Verdana;Tahoma" w:ascii="Verdana;Tahoma" w:hAnsi="Verdana;Tahoma"/>
        </w:rPr>
        <w:t xml:space="preserve">Docket No. RP00-392-000 </w:t>
      </w:r>
    </w:p>
    <w:p>
      <w:pPr>
        <w:pStyle w:val="Normal"/>
        <w:ind w:start="2880" w:end="0"/>
        <w:jc w:val="both"/>
        <w:rPr>
          <w:rFonts w:ascii="Verdana;Tahoma" w:hAnsi="Verdana;Tahoma" w:cs="Verdana;Tahoma"/>
          <w:b/>
        </w:rPr>
      </w:pPr>
      <w:r>
        <w:rPr>
          <w:rFonts w:cs="Verdana;Tahoma" w:ascii="Verdana;Tahoma" w:hAnsi="Verdana;Tahoma"/>
          <w:b/>
        </w:rPr>
        <w:t>d. National Fuel Gas Supply Corporation (National Fuel)</w:t>
      </w:r>
    </w:p>
    <w:p>
      <w:pPr>
        <w:pStyle w:val="Normal"/>
        <w:ind w:firstLine="270" w:start="2880" w:end="0"/>
        <w:jc w:val="both"/>
        <w:rPr>
          <w:rFonts w:ascii="Verdana;Tahoma" w:hAnsi="Verdana;Tahoma" w:cs="Verdana;Tahoma"/>
        </w:rPr>
      </w:pPr>
      <w:r>
        <w:rPr>
          <w:rFonts w:cs="Verdana;Tahoma" w:ascii="Verdana;Tahoma" w:hAnsi="Verdana;Tahoma"/>
        </w:rPr>
        <w:t>Docket No. RP00-399-000</w:t>
      </w:r>
    </w:p>
    <w:p>
      <w:pPr>
        <w:pStyle w:val="Normal"/>
        <w:ind w:start="2880" w:end="0"/>
        <w:jc w:val="both"/>
        <w:rPr>
          <w:rFonts w:ascii="Verdana;Tahoma" w:hAnsi="Verdana;Tahoma" w:cs="Verdana;Tahoma"/>
          <w:b/>
        </w:rPr>
      </w:pPr>
      <w:r>
        <w:rPr>
          <w:rFonts w:cs="Verdana;Tahoma" w:ascii="Verdana;Tahoma" w:hAnsi="Verdana;Tahoma"/>
          <w:b/>
        </w:rPr>
        <w:t xml:space="preserve">e. Midcoast Interstate Transmission (MIT) </w:t>
      </w:r>
    </w:p>
    <w:p>
      <w:pPr>
        <w:pStyle w:val="Normal"/>
        <w:ind w:firstLine="270" w:start="2880" w:end="0"/>
        <w:jc w:val="both"/>
        <w:rPr>
          <w:rFonts w:ascii="Verdana;Tahoma" w:hAnsi="Verdana;Tahoma" w:cs="Verdana;Tahoma"/>
        </w:rPr>
      </w:pPr>
      <w:r>
        <w:rPr>
          <w:rFonts w:cs="Verdana;Tahoma" w:ascii="Verdana;Tahoma" w:hAnsi="Verdana;Tahoma"/>
        </w:rPr>
        <w:t xml:space="preserve">Docket No. RP00-401-000 </w:t>
      </w:r>
    </w:p>
    <w:p>
      <w:pPr>
        <w:pStyle w:val="Normal"/>
        <w:ind w:start="2880" w:end="0"/>
        <w:jc w:val="both"/>
        <w:rPr>
          <w:rFonts w:ascii="Verdana;Tahoma" w:hAnsi="Verdana;Tahoma" w:cs="Verdana;Tahoma"/>
          <w:b/>
        </w:rPr>
      </w:pPr>
      <w:r>
        <w:rPr>
          <w:rFonts w:cs="Verdana;Tahoma" w:ascii="Verdana;Tahoma" w:hAnsi="Verdana;Tahoma"/>
          <w:b/>
        </w:rPr>
        <w:t>f. Iroquois Gas Transmission System L.P. (Iroquois)</w:t>
      </w:r>
    </w:p>
    <w:p>
      <w:pPr>
        <w:pStyle w:val="Normal"/>
        <w:ind w:firstLine="270" w:start="2880" w:end="0"/>
        <w:jc w:val="both"/>
        <w:rPr>
          <w:rFonts w:ascii="Verdana;Tahoma" w:hAnsi="Verdana;Tahoma" w:cs="Verdana;Tahoma"/>
        </w:rPr>
      </w:pPr>
      <w:r>
        <w:rPr>
          <w:rFonts w:cs="Verdana;Tahoma" w:ascii="Verdana;Tahoma" w:hAnsi="Verdana;Tahoma"/>
        </w:rPr>
        <w:t xml:space="preserve">Docket No. RP00-411-000 </w:t>
      </w:r>
    </w:p>
    <w:p>
      <w:pPr>
        <w:pStyle w:val="Heading1"/>
        <w:ind w:hanging="0" w:start="2880" w:end="0"/>
        <w:rPr>
          <w:rFonts w:ascii="Verdana;Tahoma" w:hAnsi="Verdana;Tahoma" w:cs="Verdana;Tahoma"/>
          <w:sz w:val="20"/>
        </w:rPr>
      </w:pPr>
      <w:r>
        <w:rPr>
          <w:rFonts w:cs="Verdana;Tahoma"/>
          <w:sz w:val="20"/>
        </w:rPr>
      </w:r>
    </w:p>
    <w:p>
      <w:pPr>
        <w:pStyle w:val="Heading1"/>
        <w:ind w:hanging="270" w:start="2880" w:end="0"/>
        <w:rPr>
          <w:sz w:val="20"/>
        </w:rPr>
      </w:pPr>
      <w:r>
        <w:rPr>
          <w:sz w:val="20"/>
        </w:rPr>
        <w:t>3. Removal of Price Cap and ROFR</w:t>
      </w:r>
    </w:p>
    <w:p>
      <w:pPr>
        <w:pStyle w:val="Normal"/>
        <w:ind w:start="2880" w:end="0"/>
        <w:jc w:val="both"/>
        <w:rPr>
          <w:rFonts w:ascii="Verdana;Tahoma" w:hAnsi="Verdana;Tahoma" w:cs="Verdana;Tahoma"/>
          <w:b/>
        </w:rPr>
      </w:pPr>
      <w:r>
        <w:rPr>
          <w:rFonts w:cs="Verdana;Tahoma" w:ascii="Verdana;Tahoma" w:hAnsi="Verdana;Tahoma"/>
          <w:b/>
        </w:rPr>
        <w:t>a. Reliant Energy Gas Transmission Company (REGT)</w:t>
      </w:r>
    </w:p>
    <w:p>
      <w:pPr>
        <w:pStyle w:val="Normal"/>
        <w:ind w:firstLine="270" w:start="2880" w:end="0"/>
        <w:jc w:val="both"/>
        <w:rPr>
          <w:rFonts w:ascii="Verdana;Tahoma" w:hAnsi="Verdana;Tahoma" w:cs="Verdana;Tahoma"/>
        </w:rPr>
      </w:pPr>
      <w:r>
        <w:rPr>
          <w:rFonts w:cs="Verdana;Tahoma" w:ascii="Verdana;Tahoma" w:hAnsi="Verdana;Tahoma"/>
        </w:rPr>
        <w:t xml:space="preserve">Docket No. RP00-509-000 </w:t>
      </w:r>
    </w:p>
    <w:p>
      <w:pPr>
        <w:pStyle w:val="Normal"/>
        <w:ind w:start="2880" w:end="0"/>
        <w:jc w:val="both"/>
        <w:rPr>
          <w:rFonts w:ascii="Verdana;Tahoma" w:hAnsi="Verdana;Tahoma" w:cs="Verdana;Tahoma"/>
          <w:b/>
        </w:rPr>
      </w:pPr>
      <w:r>
        <w:rPr>
          <w:rFonts w:cs="Verdana;Tahoma" w:ascii="Verdana;Tahoma" w:hAnsi="Verdana;Tahoma"/>
          <w:b/>
        </w:rPr>
        <w:t xml:space="preserve">b. Mississippi River Transmission Corporation (MRT) </w:t>
      </w:r>
    </w:p>
    <w:p>
      <w:pPr>
        <w:pStyle w:val="Normal"/>
        <w:ind w:firstLine="270" w:start="2880" w:end="0"/>
        <w:jc w:val="both"/>
        <w:rPr>
          <w:rFonts w:ascii="Verdana;Tahoma" w:hAnsi="Verdana;Tahoma" w:cs="Verdana;Tahoma"/>
        </w:rPr>
      </w:pPr>
      <w:r>
        <w:rPr>
          <w:rFonts w:cs="Verdana;Tahoma" w:ascii="Verdana;Tahoma" w:hAnsi="Verdana;Tahoma"/>
        </w:rPr>
        <w:t xml:space="preserve">Docket No. RP00-510-000 </w:t>
      </w:r>
    </w:p>
    <w:p>
      <w:pPr>
        <w:pStyle w:val="Normal"/>
        <w:ind w:start="2880" w:end="0"/>
        <w:jc w:val="both"/>
        <w:rPr>
          <w:rFonts w:ascii="Verdana;Tahoma" w:hAnsi="Verdana;Tahoma" w:cs="Verdana;Tahoma"/>
          <w:b/>
        </w:rPr>
      </w:pPr>
      <w:r>
        <w:rPr>
          <w:rFonts w:cs="Verdana;Tahoma" w:ascii="Verdana;Tahoma" w:hAnsi="Verdana;Tahoma"/>
          <w:b/>
        </w:rPr>
        <w:t>c. Algonquin LNG, Inc. (ALNG)</w:t>
      </w:r>
    </w:p>
    <w:p>
      <w:pPr>
        <w:pStyle w:val="Normal"/>
        <w:ind w:firstLine="270" w:start="2880" w:end="0"/>
        <w:jc w:val="both"/>
        <w:rPr>
          <w:rFonts w:ascii="Verdana;Tahoma" w:hAnsi="Verdana;Tahoma" w:cs="Verdana;Tahoma"/>
        </w:rPr>
      </w:pPr>
      <w:r>
        <w:rPr>
          <w:rFonts w:cs="Verdana;Tahoma" w:ascii="Verdana;Tahoma" w:hAnsi="Verdana;Tahoma"/>
        </w:rPr>
        <w:t xml:space="preserve">Docket No. RP00-512-000 </w:t>
      </w:r>
    </w:p>
    <w:p>
      <w:pPr>
        <w:pStyle w:val="Normal"/>
        <w:ind w:start="2880" w:end="0"/>
        <w:jc w:val="both"/>
        <w:rPr>
          <w:rFonts w:ascii="Verdana;Tahoma" w:hAnsi="Verdana;Tahoma" w:cs="Verdana;Tahoma"/>
          <w:b/>
        </w:rPr>
      </w:pPr>
      <w:r>
        <w:rPr>
          <w:rFonts w:cs="Verdana;Tahoma" w:ascii="Verdana;Tahoma" w:hAnsi="Verdana;Tahoma"/>
          <w:b/>
        </w:rPr>
        <w:t>d. Iroquois Gas Transmission System L.P. (Iroquois)</w:t>
      </w:r>
    </w:p>
    <w:p>
      <w:pPr>
        <w:pStyle w:val="Normal"/>
        <w:ind w:firstLine="270" w:start="2880" w:end="0"/>
        <w:jc w:val="both"/>
        <w:rPr>
          <w:rFonts w:ascii="Verdana;Tahoma" w:hAnsi="Verdana;Tahoma" w:cs="Verdana;Tahoma"/>
        </w:rPr>
      </w:pPr>
      <w:r>
        <w:rPr>
          <w:rFonts w:cs="Verdana;Tahoma" w:ascii="Verdana;Tahoma" w:hAnsi="Verdana;Tahoma"/>
        </w:rPr>
        <w:t xml:space="preserve">Docket No. RP00-529-000 </w:t>
      </w:r>
    </w:p>
    <w:p>
      <w:pPr>
        <w:pStyle w:val="Normal"/>
        <w:ind w:start="2880" w:end="0"/>
        <w:jc w:val="both"/>
        <w:rPr>
          <w:rFonts w:ascii="Verdana;Tahoma" w:hAnsi="Verdana;Tahoma" w:cs="Verdana;Tahoma"/>
          <w:b/>
        </w:rPr>
      </w:pPr>
      <w:r>
        <w:rPr>
          <w:rFonts w:cs="Verdana;Tahoma" w:ascii="Verdana;Tahoma" w:hAnsi="Verdana;Tahoma"/>
          <w:b/>
        </w:rPr>
        <w:t>e. Eastern Shore Natural Gas Co. (Eastern Shore)</w:t>
      </w:r>
    </w:p>
    <w:p>
      <w:pPr>
        <w:pStyle w:val="Normal"/>
        <w:ind w:firstLine="270" w:start="2880" w:end="0"/>
        <w:jc w:val="both"/>
        <w:rPr>
          <w:rFonts w:ascii="Verdana;Tahoma" w:hAnsi="Verdana;Tahoma" w:cs="Verdana;Tahoma"/>
        </w:rPr>
      </w:pPr>
      <w:r>
        <w:rPr>
          <w:rFonts w:cs="Verdana;Tahoma" w:ascii="Verdana;Tahoma" w:hAnsi="Verdana;Tahoma"/>
        </w:rPr>
        <w:t xml:space="preserve">Docket No. RP00-537-000 </w:t>
      </w:r>
    </w:p>
    <w:p>
      <w:pPr>
        <w:pStyle w:val="Normal"/>
        <w:ind w:start="2880" w:end="0"/>
        <w:jc w:val="both"/>
        <w:rPr>
          <w:rFonts w:ascii="Verdana;Tahoma" w:hAnsi="Verdana;Tahoma" w:cs="Verdana;Tahoma"/>
          <w:b/>
        </w:rPr>
      </w:pPr>
      <w:r>
        <w:rPr>
          <w:rFonts w:cs="Verdana;Tahoma" w:ascii="Verdana;Tahoma" w:hAnsi="Verdana;Tahoma"/>
          <w:b/>
        </w:rPr>
        <w:t>f. Chandeleur Pipe Line Company (Chandeleur)</w:t>
      </w:r>
    </w:p>
    <w:p>
      <w:pPr>
        <w:pStyle w:val="Normal"/>
        <w:ind w:firstLine="270" w:start="2880" w:end="0"/>
        <w:jc w:val="both"/>
        <w:rPr>
          <w:rFonts w:ascii="Verdana;Tahoma" w:hAnsi="Verdana;Tahoma" w:cs="Verdana;Tahoma"/>
        </w:rPr>
      </w:pPr>
      <w:r>
        <w:rPr>
          <w:rFonts w:cs="Verdana;Tahoma" w:ascii="Verdana;Tahoma" w:hAnsi="Verdana;Tahoma"/>
        </w:rPr>
        <w:t xml:space="preserve">Docket No. RP00-563-000 </w:t>
      </w:r>
    </w:p>
    <w:p>
      <w:pPr>
        <w:pStyle w:val="Normal"/>
        <w:ind w:start="2880" w:end="0"/>
        <w:jc w:val="both"/>
        <w:rPr>
          <w:rFonts w:ascii="Verdana;Tahoma" w:hAnsi="Verdana;Tahoma" w:cs="Verdana;Tahoma"/>
          <w:b/>
        </w:rPr>
      </w:pPr>
      <w:r>
        <w:rPr>
          <w:rFonts w:cs="Verdana;Tahoma" w:ascii="Verdana;Tahoma" w:hAnsi="Verdana;Tahoma"/>
          <w:b/>
        </w:rPr>
      </w:r>
    </w:p>
    <w:p>
      <w:pPr>
        <w:pStyle w:val="Normal"/>
        <w:ind w:start="2880" w:end="0"/>
        <w:jc w:val="both"/>
        <w:rPr>
          <w:rFonts w:ascii="Verdana;Tahoma" w:hAnsi="Verdana;Tahoma" w:cs="Verdana;Tahoma"/>
          <w:b/>
        </w:rPr>
      </w:pPr>
      <w:r>
        <w:rPr>
          <w:rFonts w:cs="Verdana;Tahoma" w:ascii="Verdana;Tahoma" w:hAnsi="Verdana;Tahoma"/>
          <w:b/>
        </w:rPr>
      </w:r>
    </w:p>
    <w:p>
      <w:pPr>
        <w:pStyle w:val="Normal"/>
        <w:ind w:start="2880" w:end="0"/>
        <w:jc w:val="both"/>
        <w:rPr>
          <w:rFonts w:ascii="Verdana;Tahoma" w:hAnsi="Verdana;Tahoma" w:cs="Verdana;Tahoma"/>
          <w:b/>
        </w:rPr>
      </w:pPr>
      <w:r>
        <w:rPr>
          <w:rFonts w:cs="Verdana;Tahoma" w:ascii="Verdana;Tahoma" w:hAnsi="Verdana;Tahoma"/>
          <w:b/>
        </w:rPr>
      </w:r>
    </w:p>
    <w:p>
      <w:pPr>
        <w:pStyle w:val="Normal"/>
        <w:ind w:start="2880" w:end="0"/>
        <w:jc w:val="both"/>
        <w:rPr>
          <w:rFonts w:ascii="Verdana;Tahoma" w:hAnsi="Verdana;Tahoma" w:cs="Verdana;Tahoma"/>
          <w:b/>
        </w:rPr>
      </w:pPr>
      <w:r>
        <w:rPr>
          <w:rFonts w:cs="Verdana;Tahoma" w:ascii="Verdana;Tahoma" w:hAnsi="Verdana;Tahoma"/>
          <w:b/>
        </w:rPr>
      </w:r>
    </w:p>
    <w:p>
      <w:pPr>
        <w:pStyle w:val="Normal"/>
        <w:ind w:start="2880" w:end="0"/>
        <w:jc w:val="both"/>
        <w:rPr>
          <w:rFonts w:ascii="Verdana;Tahoma" w:hAnsi="Verdana;Tahoma" w:cs="Verdana;Tahoma"/>
          <w:b/>
        </w:rPr>
      </w:pPr>
      <w:r>
        <w:rPr>
          <w:rFonts w:cs="Verdana;Tahoma" w:ascii="Verdana;Tahoma" w:hAnsi="Verdana;Tahoma"/>
          <w:b/>
        </w:rPr>
      </w:r>
    </w:p>
    <w:p>
      <w:pPr>
        <w:pStyle w:val="Heading4"/>
        <w:ind w:hanging="0" w:start="0"/>
        <w:rPr/>
      </w:pPr>
      <w:r>
        <w:rPr/>
        <w:t>Table of Contents (cont.)</w:t>
      </w:r>
    </w:p>
    <w:p>
      <w:pPr>
        <w:pStyle w:val="Normal"/>
        <w:ind w:start="2880" w:end="0"/>
        <w:jc w:val="both"/>
        <w:rPr>
          <w:rFonts w:ascii="Verdana;Tahoma" w:hAnsi="Verdana;Tahoma" w:cs="Verdana;Tahoma"/>
          <w:b/>
        </w:rPr>
      </w:pPr>
      <w:r>
        <w:rPr>
          <w:rFonts w:cs="Verdana;Tahoma" w:ascii="Verdana;Tahoma" w:hAnsi="Verdana;Tahoma"/>
          <w:b/>
        </w:rPr>
      </w:r>
    </w:p>
    <w:p>
      <w:pPr>
        <w:pStyle w:val="Normal"/>
        <w:ind w:start="2880" w:end="0"/>
        <w:jc w:val="both"/>
        <w:rPr>
          <w:rFonts w:ascii="Verdana;Tahoma" w:hAnsi="Verdana;Tahoma" w:cs="Verdana;Tahoma"/>
          <w:b/>
        </w:rPr>
      </w:pPr>
      <w:r>
        <w:rPr>
          <w:rFonts w:cs="Verdana;Tahoma" w:ascii="Verdana;Tahoma" w:hAnsi="Verdana;Tahoma"/>
          <w:b/>
        </w:rPr>
        <w:t>g. Kern River Gas Transmission Company (Kern River)</w:t>
      </w:r>
    </w:p>
    <w:p>
      <w:pPr>
        <w:pStyle w:val="Normal"/>
        <w:ind w:firstLine="270" w:start="2880" w:end="0"/>
        <w:jc w:val="both"/>
        <w:rPr>
          <w:rFonts w:ascii="Verdana;Tahoma" w:hAnsi="Verdana;Tahoma" w:cs="Verdana;Tahoma"/>
          <w:b/>
        </w:rPr>
      </w:pPr>
      <w:r>
        <w:rPr>
          <w:rFonts w:cs="Verdana;Tahoma" w:ascii="Verdana;Tahoma" w:hAnsi="Verdana;Tahoma"/>
        </w:rPr>
        <w:t xml:space="preserve">Docket No. RP00-505-000 </w:t>
      </w:r>
    </w:p>
    <w:p>
      <w:pPr>
        <w:pStyle w:val="Normal"/>
        <w:ind w:start="2880" w:end="0"/>
        <w:jc w:val="both"/>
        <w:rPr/>
      </w:pPr>
      <w:r>
        <w:rPr>
          <w:rFonts w:cs="Verdana;Tahoma" w:ascii="Verdana;Tahoma" w:hAnsi="Verdana;Tahoma"/>
          <w:b/>
        </w:rPr>
        <w:t>h.</w:t>
      </w:r>
      <w:r>
        <w:rPr>
          <w:rFonts w:cs="Verdana;Tahoma" w:ascii="Verdana;Tahoma" w:hAnsi="Verdana;Tahoma"/>
        </w:rPr>
        <w:t xml:space="preserve"> </w:t>
      </w:r>
      <w:r>
        <w:rPr>
          <w:rFonts w:cs="Verdana;Tahoma" w:ascii="Verdana;Tahoma" w:hAnsi="Verdana;Tahoma"/>
          <w:b/>
        </w:rPr>
        <w:t>ANR Pipeline Company (ANR)</w:t>
      </w:r>
    </w:p>
    <w:p>
      <w:pPr>
        <w:pStyle w:val="Normal"/>
        <w:ind w:firstLine="270" w:start="2880" w:end="0"/>
        <w:jc w:val="both"/>
        <w:rPr>
          <w:rFonts w:ascii="Verdana;Tahoma" w:hAnsi="Verdana;Tahoma" w:cs="Verdana;Tahoma"/>
        </w:rPr>
      </w:pPr>
      <w:r>
        <w:rPr>
          <w:rFonts w:cs="Verdana;Tahoma" w:ascii="Verdana;Tahoma" w:hAnsi="Verdana;Tahoma"/>
        </w:rPr>
        <w:t xml:space="preserve">Docket No. RP00-542-000 </w:t>
      </w:r>
    </w:p>
    <w:p>
      <w:pPr>
        <w:pStyle w:val="Normal"/>
        <w:ind w:start="2880" w:end="0"/>
        <w:jc w:val="both"/>
        <w:rPr>
          <w:rFonts w:ascii="Verdana;Tahoma" w:hAnsi="Verdana;Tahoma" w:cs="Verdana;Tahoma"/>
          <w:b/>
        </w:rPr>
      </w:pPr>
      <w:r>
        <w:rPr>
          <w:rFonts w:cs="Verdana;Tahoma" w:ascii="Verdana;Tahoma" w:hAnsi="Verdana;Tahoma"/>
          <w:b/>
        </w:rPr>
        <w:t xml:space="preserve">i. High Island Offshore System, LLC (HIOS) </w:t>
      </w:r>
    </w:p>
    <w:p>
      <w:pPr>
        <w:pStyle w:val="Normal"/>
        <w:ind w:firstLine="180" w:start="2880" w:end="0"/>
        <w:jc w:val="both"/>
        <w:rPr>
          <w:rFonts w:ascii="Verdana;Tahoma" w:hAnsi="Verdana;Tahoma" w:cs="Verdana;Tahoma"/>
        </w:rPr>
      </w:pPr>
      <w:r>
        <w:rPr>
          <w:rFonts w:eastAsia="Verdana;Tahoma" w:cs="Verdana;Tahoma" w:ascii="Verdana;Tahoma" w:hAnsi="Verdana;Tahoma"/>
        </w:rPr>
        <w:t xml:space="preserve"> </w:t>
      </w:r>
      <w:r>
        <w:rPr>
          <w:rFonts w:cs="Verdana;Tahoma" w:ascii="Verdana;Tahoma" w:hAnsi="Verdana;Tahoma"/>
        </w:rPr>
        <w:t xml:space="preserve">Docket No. RP00-547-000 </w:t>
      </w:r>
    </w:p>
    <w:p>
      <w:pPr>
        <w:pStyle w:val="Normal"/>
        <w:ind w:start="2880" w:end="0"/>
        <w:jc w:val="both"/>
        <w:rPr>
          <w:rFonts w:ascii="Verdana;Tahoma" w:hAnsi="Verdana;Tahoma" w:cs="Verdana;Tahoma"/>
          <w:b/>
        </w:rPr>
      </w:pPr>
      <w:r>
        <w:rPr>
          <w:rFonts w:cs="Verdana;Tahoma" w:ascii="Verdana;Tahoma" w:hAnsi="Verdana;Tahoma"/>
          <w:b/>
        </w:rPr>
        <w:t xml:space="preserve">j. U-T Offshore System, LLC (U-TOS) </w:t>
      </w:r>
    </w:p>
    <w:p>
      <w:pPr>
        <w:pStyle w:val="Heading1"/>
        <w:ind w:firstLine="270" w:start="2880" w:end="0"/>
        <w:rPr>
          <w:b w:val="false"/>
          <w:sz w:val="20"/>
        </w:rPr>
      </w:pPr>
      <w:r>
        <w:rPr>
          <w:b w:val="false"/>
          <w:sz w:val="20"/>
        </w:rPr>
        <w:t xml:space="preserve">Docket No. RP00-549-000 </w:t>
      </w:r>
    </w:p>
    <w:p>
      <w:pPr>
        <w:pStyle w:val="Normal"/>
        <w:ind w:start="2880" w:end="0"/>
        <w:jc w:val="both"/>
        <w:rPr>
          <w:rFonts w:ascii="Verdana;Tahoma" w:hAnsi="Verdana;Tahoma" w:cs="Verdana;Tahoma"/>
          <w:b/>
        </w:rPr>
      </w:pPr>
      <w:r>
        <w:rPr>
          <w:rFonts w:cs="Verdana;Tahoma" w:ascii="Verdana;Tahoma" w:hAnsi="Verdana;Tahoma"/>
          <w:b/>
        </w:rPr>
        <w:t>k. Stingray Pipeline Company (Stingray)</w:t>
      </w:r>
    </w:p>
    <w:p>
      <w:pPr>
        <w:pStyle w:val="Normal"/>
        <w:ind w:firstLine="270" w:start="2880" w:end="0"/>
        <w:jc w:val="both"/>
        <w:rPr>
          <w:rFonts w:ascii="Verdana;Tahoma" w:hAnsi="Verdana;Tahoma" w:cs="Verdana;Tahoma"/>
        </w:rPr>
      </w:pPr>
      <w:r>
        <w:rPr>
          <w:rFonts w:cs="Verdana;Tahoma" w:ascii="Verdana;Tahoma" w:hAnsi="Verdana;Tahoma"/>
        </w:rPr>
        <w:t xml:space="preserve">Docket No. RP00-550-000 </w:t>
      </w:r>
    </w:p>
    <w:p>
      <w:pPr>
        <w:pStyle w:val="Normal"/>
        <w:ind w:start="2880" w:end="0"/>
        <w:jc w:val="both"/>
        <w:rPr>
          <w:rFonts w:ascii="Verdana;Tahoma" w:hAnsi="Verdana;Tahoma" w:cs="Verdana;Tahoma"/>
          <w:b/>
        </w:rPr>
      </w:pPr>
      <w:r>
        <w:rPr>
          <w:rFonts w:cs="Verdana;Tahoma" w:ascii="Verdana;Tahoma" w:hAnsi="Verdana;Tahoma"/>
          <w:b/>
        </w:rPr>
      </w:r>
    </w:p>
    <w:p>
      <w:pPr>
        <w:pStyle w:val="Normal"/>
        <w:ind w:hanging="270" w:start="2880" w:end="0"/>
        <w:jc w:val="both"/>
        <w:rPr>
          <w:rFonts w:ascii="Verdana;Tahoma" w:hAnsi="Verdana;Tahoma" w:cs="Verdana;Tahoma"/>
          <w:b/>
        </w:rPr>
      </w:pPr>
      <w:r>
        <w:rPr>
          <w:rFonts w:cs="Verdana;Tahoma" w:ascii="Verdana;Tahoma" w:hAnsi="Verdana;Tahoma"/>
          <w:b/>
        </w:rPr>
        <w:t>4. Standards of Conduct</w:t>
      </w:r>
    </w:p>
    <w:p>
      <w:pPr>
        <w:pStyle w:val="Normal"/>
        <w:ind w:start="2880" w:end="0"/>
        <w:jc w:val="both"/>
        <w:rPr>
          <w:rFonts w:ascii="Verdana;Tahoma" w:hAnsi="Verdana;Tahoma" w:cs="Verdana;Tahoma"/>
          <w:b/>
        </w:rPr>
      </w:pPr>
      <w:r>
        <w:rPr>
          <w:rFonts w:cs="Verdana;Tahoma" w:ascii="Verdana;Tahoma" w:hAnsi="Verdana;Tahoma"/>
          <w:b/>
        </w:rPr>
        <w:t>a. Michigan Gas Storage Company (Michigan Gas)</w:t>
      </w:r>
    </w:p>
    <w:p>
      <w:pPr>
        <w:pStyle w:val="Normal"/>
        <w:ind w:firstLine="270" w:start="2880" w:end="0"/>
        <w:jc w:val="both"/>
        <w:rPr>
          <w:rFonts w:ascii="Verdana;Tahoma" w:hAnsi="Verdana;Tahoma" w:cs="Verdana;Tahoma"/>
        </w:rPr>
      </w:pPr>
      <w:r>
        <w:rPr>
          <w:rFonts w:cs="Verdana;Tahoma" w:ascii="Verdana;Tahoma" w:hAnsi="Verdana;Tahoma"/>
        </w:rPr>
        <w:t>Docket No. MG00-009-000</w:t>
      </w:r>
    </w:p>
    <w:p>
      <w:pPr>
        <w:pStyle w:val="Normal"/>
        <w:ind w:start="2880" w:end="0"/>
        <w:rPr>
          <w:rFonts w:ascii="Verdana;Tahoma" w:hAnsi="Verdana;Tahoma" w:cs="Verdana;Tahoma"/>
          <w:b/>
        </w:rPr>
      </w:pPr>
      <w:r>
        <w:rPr>
          <w:rFonts w:cs="Verdana;Tahoma" w:ascii="Verdana;Tahoma" w:hAnsi="Verdana;Tahoma"/>
          <w:b/>
        </w:rPr>
        <w:t>b. Northwest Pipeline Corporation (Northwest)</w:t>
      </w:r>
    </w:p>
    <w:p>
      <w:pPr>
        <w:pStyle w:val="Normal"/>
        <w:ind w:firstLine="270" w:start="2880" w:end="0"/>
        <w:rPr>
          <w:rFonts w:ascii="Verdana;Tahoma" w:hAnsi="Verdana;Tahoma" w:cs="Verdana;Tahoma"/>
        </w:rPr>
      </w:pPr>
      <w:r>
        <w:rPr>
          <w:rFonts w:cs="Verdana;Tahoma" w:ascii="Verdana;Tahoma" w:hAnsi="Verdana;Tahoma"/>
        </w:rPr>
        <w:t xml:space="preserve">Docket No.  MG00-010-000 </w:t>
      </w:r>
    </w:p>
    <w:p>
      <w:pPr>
        <w:pStyle w:val="Normal"/>
        <w:ind w:start="2880" w:end="0"/>
        <w:rPr>
          <w:rFonts w:ascii="Verdana;Tahoma" w:hAnsi="Verdana;Tahoma" w:cs="Verdana;Tahoma"/>
          <w:b/>
        </w:rPr>
      </w:pPr>
      <w:r>
        <w:rPr>
          <w:rFonts w:cs="Verdana;Tahoma" w:ascii="Verdana;Tahoma" w:hAnsi="Verdana;Tahoma"/>
          <w:b/>
        </w:rPr>
        <w:t>c. Kern River Gas Transmission Company (Kern River)</w:t>
      </w:r>
    </w:p>
    <w:p>
      <w:pPr>
        <w:pStyle w:val="Heading3"/>
        <w:ind w:firstLine="270" w:start="2880" w:end="0"/>
        <w:rPr>
          <w:sz w:val="20"/>
        </w:rPr>
      </w:pPr>
      <w:r>
        <w:rPr>
          <w:sz w:val="20"/>
        </w:rPr>
        <w:t xml:space="preserve">Docket No. MG00-011-000 </w:t>
      </w:r>
    </w:p>
    <w:p>
      <w:pPr>
        <w:pStyle w:val="Normal"/>
        <w:ind w:start="2880" w:end="0"/>
        <w:jc w:val="both"/>
        <w:rPr>
          <w:rFonts w:ascii="Verdana;Tahoma" w:hAnsi="Verdana;Tahoma" w:cs="Verdana;Tahoma"/>
          <w:sz w:val="20"/>
        </w:rPr>
      </w:pPr>
      <w:r>
        <w:rPr>
          <w:rFonts w:cs="Verdana;Tahoma" w:ascii="Verdana;Tahoma" w:hAnsi="Verdana;Tahoma"/>
          <w:sz w:val="20"/>
        </w:rPr>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r>
      <w:r>
        <w:br w:type="page"/>
      </w:r>
    </w:p>
    <w:p>
      <w:pPr>
        <w:pStyle w:val="Normal"/>
        <w:jc w:val="both"/>
        <w:rPr>
          <w:rFonts w:ascii="Verdana;Tahoma" w:hAnsi="Verdana;Tahoma" w:cs="Verdana;Tahoma"/>
        </w:rPr>
      </w:pPr>
      <w:r>
        <w:rPr>
          <w:rFonts w:cs="Verdana;Tahoma" w:ascii="Verdana;Tahoma" w:hAnsi="Verdana;Tahoma"/>
        </w:rPr>
      </w:r>
    </w:p>
    <w:p>
      <w:pPr>
        <w:pStyle w:val="Heading1"/>
        <w:ind w:hanging="0" w:start="0"/>
        <w:rPr>
          <w:rFonts w:ascii="Verdana;Tahoma" w:hAnsi="Verdana;Tahoma" w:cs="Verdana;Tahoma"/>
          <w:sz w:val="20"/>
        </w:rPr>
      </w:pPr>
      <w:r>
        <w:rPr>
          <w:rFonts w:cs="Verdana;Tahoma"/>
          <w:sz w:val="20"/>
        </w:rPr>
      </w:r>
    </w:p>
    <w:p>
      <w:pPr>
        <w:pStyle w:val="Heading1"/>
        <w:ind w:hanging="360" w:start="0" w:end="0"/>
        <w:rPr/>
      </w:pPr>
      <w:r>
        <w:rPr/>
        <w:t>1. Settlement Conferences</w:t>
      </w:r>
    </w:p>
    <w:p>
      <w:pPr>
        <w:pStyle w:val="Normal"/>
        <w:jc w:val="both"/>
        <w:rPr>
          <w:rFonts w:ascii="Verdana;Tahoma" w:hAnsi="Verdana;Tahoma" w:cs="Verdana;Tahoma"/>
          <w:sz w:val="24"/>
        </w:rPr>
      </w:pPr>
      <w:r>
        <w:rPr>
          <w:rFonts w:cs="Verdana;Tahoma" w:ascii="Verdana;Tahoma" w:hAnsi="Verdana;Tahoma"/>
          <w:sz w:val="24"/>
        </w:rPr>
      </w:r>
    </w:p>
    <w:p>
      <w:pPr>
        <w:pStyle w:val="Heading1"/>
        <w:ind w:hanging="0" w:start="0"/>
        <w:rPr/>
      </w:pPr>
      <w:r>
        <w:rPr/>
        <w:t>a. Columbia Gulf Transmission Company (Columbia Gulf)</w:t>
      </w:r>
    </w:p>
    <w:p>
      <w:pPr>
        <w:pStyle w:val="Heading2"/>
        <w:ind w:firstLine="360" w:start="0" w:end="0"/>
        <w:rPr/>
      </w:pPr>
      <w:r>
        <w:rPr/>
        <w:t>Docket No. RP00-326-000</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On September 19, 2000, Columbia Gulf informed FERC that it has set an initial settlement meeting in this proceeding for October 2, 2000.  Columbia Gulf requested that FERC permit the parties in the Columbia Gulf proceeding to engage in settlement negotiations prior to initiating a technical conference.  Columbia Gulf stated it will provide FERC with periodic written updates to keep FERC apprised regarding the settlement efforts of the parties and will provide FERC a report on the results of its settlement discussions by November 1, 2000.</w:t>
      </w:r>
    </w:p>
    <w:p>
      <w:pPr>
        <w:pStyle w:val="Normal"/>
        <w:jc w:val="both"/>
        <w:rPr>
          <w:rFonts w:ascii="Verdana;Tahoma" w:hAnsi="Verdana;Tahoma" w:cs="Verdana;Tahoma"/>
          <w:sz w:val="24"/>
        </w:rPr>
      </w:pPr>
      <w:r>
        <w:rPr>
          <w:rFonts w:cs="Verdana;Tahoma" w:ascii="Verdana;Tahoma" w:hAnsi="Verdana;Tahoma"/>
          <w:sz w:val="24"/>
        </w:rPr>
      </w:r>
    </w:p>
    <w:p>
      <w:pPr>
        <w:pStyle w:val="Heading1"/>
        <w:ind w:hanging="0" w:start="0"/>
        <w:rPr/>
      </w:pPr>
      <w:r>
        <w:rPr/>
        <w:t>b. Columbia Gas Transmission Company (Columbia Gas)</w:t>
      </w:r>
    </w:p>
    <w:p>
      <w:pPr>
        <w:pStyle w:val="Heading6"/>
        <w:rPr/>
      </w:pPr>
      <w:r>
        <w:rPr/>
        <w:t>Docket No. RP00-326-000</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Columbia Gas responded to FERC Staff's request that the parties in this proceeding keep FERC apprised in writing regarding their settlement efforts.  Columbia Gas stated that on September 8, 2000, the parties to this proceeding held an all-day settlement meeting, discussing the issues existing between the parties and agreeing to a follow-up all-day settlement meeting on September 21, 2000.</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b/>
          <w:sz w:val="24"/>
        </w:rPr>
      </w:pPr>
      <w:r>
        <w:rPr>
          <w:rFonts w:cs="Verdana;Tahoma" w:ascii="Verdana;Tahoma" w:hAnsi="Verdana;Tahoma"/>
          <w:b/>
          <w:sz w:val="24"/>
        </w:rPr>
      </w:r>
    </w:p>
    <w:p>
      <w:pPr>
        <w:pStyle w:val="Normal"/>
        <w:ind w:hanging="360" w:end="0"/>
        <w:jc w:val="both"/>
        <w:rPr>
          <w:rFonts w:ascii="Verdana;Tahoma" w:hAnsi="Verdana;Tahoma" w:cs="Verdana;Tahoma"/>
          <w:b/>
          <w:sz w:val="24"/>
        </w:rPr>
      </w:pPr>
      <w:r>
        <w:rPr>
          <w:rFonts w:cs="Verdana;Tahoma" w:ascii="Verdana;Tahoma" w:hAnsi="Verdana;Tahoma"/>
          <w:b/>
          <w:sz w:val="24"/>
        </w:rPr>
        <w:t>2. Answers To Comments and Protests to Pro Forma Compliance Filings</w:t>
      </w:r>
    </w:p>
    <w:p>
      <w:pPr>
        <w:pStyle w:val="Normal"/>
        <w:jc w:val="both"/>
        <w:rPr>
          <w:rFonts w:ascii="Verdana;Tahoma" w:hAnsi="Verdana;Tahoma" w:cs="Verdana;Tahoma"/>
          <w:b/>
          <w:sz w:val="24"/>
        </w:rPr>
      </w:pPr>
      <w:r>
        <w:rPr>
          <w:rFonts w:cs="Verdana;Tahoma" w:ascii="Verdana;Tahoma" w:hAnsi="Verdana;Tahoma"/>
          <w:b/>
          <w:sz w:val="24"/>
        </w:rPr>
      </w:r>
    </w:p>
    <w:p>
      <w:pPr>
        <w:pStyle w:val="Normal"/>
        <w:jc w:val="both"/>
        <w:rPr>
          <w:rFonts w:ascii="Verdana;Tahoma" w:hAnsi="Verdana;Tahoma" w:cs="Verdana;Tahoma"/>
          <w:b/>
          <w:sz w:val="24"/>
        </w:rPr>
      </w:pPr>
      <w:r>
        <w:rPr>
          <w:rFonts w:cs="Verdana;Tahoma" w:ascii="Verdana;Tahoma" w:hAnsi="Verdana;Tahoma"/>
          <w:b/>
          <w:sz w:val="24"/>
        </w:rPr>
        <w:t>a. El Paso Natural Gas Company (El Paso)</w:t>
      </w:r>
    </w:p>
    <w:p>
      <w:pPr>
        <w:pStyle w:val="Heading6"/>
        <w:rPr/>
      </w:pPr>
      <w:r>
        <w:rPr/>
        <w:t>Docket No. RP00-336-001</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On September 25, 2000, El Paso Natural Gas Company filed an answer, stating it offers this answer to correct statements presented in the protests of Conoco, Inc. and Indicated Shippers that are factually inaccurate.</w:t>
      </w:r>
    </w:p>
    <w:p>
      <w:pPr>
        <w:pStyle w:val="Normal"/>
        <w:jc w:val="both"/>
        <w:rPr>
          <w:rFonts w:ascii="Verdana;Tahoma" w:hAnsi="Verdana;Tahoma" w:cs="Verdana;Tahoma"/>
          <w:sz w:val="24"/>
        </w:rPr>
      </w:pPr>
      <w:r>
        <w:rPr>
          <w:rFonts w:cs="Verdana;Tahoma" w:ascii="Verdana;Tahoma" w:hAnsi="Verdana;Tahoma"/>
          <w:sz w:val="24"/>
        </w:rPr>
      </w:r>
    </w:p>
    <w:p>
      <w:pPr>
        <w:pStyle w:val="BodyText"/>
        <w:rPr/>
      </w:pPr>
      <w:r>
        <w:rPr/>
        <w:t>Conoco, Inc.</w:t>
      </w:r>
    </w:p>
    <w:p>
      <w:pPr>
        <w:pStyle w:val="Normal"/>
        <w:jc w:val="both"/>
        <w:rPr>
          <w:rFonts w:ascii="Verdana;Tahoma" w:hAnsi="Verdana;Tahoma" w:cs="Verdana;Tahoma"/>
          <w:sz w:val="24"/>
        </w:rPr>
      </w:pPr>
      <w:r>
        <w:rPr>
          <w:rFonts w:cs="Verdana;Tahoma" w:ascii="Verdana;Tahoma" w:hAnsi="Verdana;Tahoma"/>
          <w:sz w:val="24"/>
        </w:rPr>
        <w:t xml:space="preserve">El Paso stated that to provide FERC with accurate factual data on which to make a determination as to whether Conoco should be allowed to use its discounted rate to access the Willcox delivery point on an alternate basis, El Paso offers the following corrections and clarification of Conoco's factual claims.  </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 xml:space="preserve">First, El Paso stated that Conoco's primary delivery points are not located in the Arizona rate zone, but instead are located in Texas, consisting of the Waha interconnect with the Valero system and the Waha interconnect with the Oasis system.  El Paso contended that the rates Conoco pays under its contract are not derived from the higher rates applicable to the Arizona rate zone.  </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Second, El Paso asserted that Conoco's contract does not specify a path over which transportation service is provided and Conoco is entitled to deliver gas to El Paso in any of the three basins connected to the system.  Additionally, El Paso noted that even if Conoco were able to use the Willcox delivery point on an alternative basis despite the fact that it is located downstream of the zone in which Conoco's delivery points are located, it would not be able to deliver gas there at the discounted rate it pays under its contract.</w:t>
      </w:r>
    </w:p>
    <w:p>
      <w:pPr>
        <w:pStyle w:val="Normal"/>
        <w:jc w:val="both"/>
        <w:rPr>
          <w:rFonts w:ascii="Verdana;Tahoma" w:hAnsi="Verdana;Tahoma" w:cs="Verdana;Tahoma"/>
          <w:sz w:val="24"/>
        </w:rPr>
      </w:pPr>
      <w:r>
        <w:rPr>
          <w:rFonts w:cs="Verdana;Tahoma" w:ascii="Verdana;Tahoma" w:hAnsi="Verdana;Tahoma"/>
          <w:sz w:val="24"/>
        </w:rPr>
      </w:r>
    </w:p>
    <w:p>
      <w:pPr>
        <w:pStyle w:val="Heading1"/>
        <w:ind w:hanging="0" w:start="0"/>
        <w:rPr>
          <w:b w:val="false"/>
        </w:rPr>
      </w:pPr>
      <w:r>
        <w:rPr>
          <w:b w:val="false"/>
        </w:rPr>
        <w:t>Indicated Shippers</w:t>
      </w:r>
    </w:p>
    <w:p>
      <w:pPr>
        <w:pStyle w:val="Normal"/>
        <w:jc w:val="both"/>
        <w:rPr>
          <w:rFonts w:ascii="Verdana;Tahoma" w:hAnsi="Verdana;Tahoma" w:cs="Verdana;Tahoma"/>
          <w:sz w:val="24"/>
        </w:rPr>
      </w:pPr>
      <w:r>
        <w:rPr>
          <w:rFonts w:cs="Verdana;Tahoma" w:ascii="Verdana;Tahoma" w:hAnsi="Verdana;Tahoma"/>
          <w:sz w:val="24"/>
        </w:rPr>
        <w:t>El Paso stated that Indicated Shippers is apparently confused regarding the distinction between segmentation and flexible delivery points.  El Paso asserted that it distinguishes segmentation from delivery point flexibility, and its statement that it has not received any requests for segmentation was not intended to be read as claiming that no parties have requested alternate delivery points.</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On September 26, 2000, El Paso Natural Gas Company (El Paso) filed Tabs A and B to its Answer to the Protests of Conoco, Inc. and Indicated Shippers filed on September 25, 2000.  El Paso stated that it discovered that it had inadvertently failed to attach the two exhibits that are referenced in that pleading subsequent to the filing, but prior to serving the parties on the official service list.  El Paso noted that it included the omitted exhibits in the service copies.</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b/>
          <w:sz w:val="24"/>
        </w:rPr>
      </w:pPr>
      <w:r>
        <w:rPr>
          <w:rFonts w:cs="Verdana;Tahoma" w:ascii="Verdana;Tahoma" w:hAnsi="Verdana;Tahoma"/>
          <w:b/>
          <w:sz w:val="24"/>
        </w:rPr>
        <w:t>b. Mississippi Canyon Gas Pipeline, L.L.C. (Shell Gas  Pipeline)</w:t>
      </w:r>
    </w:p>
    <w:p>
      <w:pPr>
        <w:pStyle w:val="Heading6"/>
        <w:rPr/>
      </w:pPr>
      <w:r>
        <w:rPr/>
        <w:t>Docket No. RP00-391-000</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 xml:space="preserve">On September 20, 2000, BP Exploration &amp; Oil, Inc. (BP) and Conoco, Inc. (Conoco) filed an answer to the answer of Mississippi Canyon Gas Pipeline, LLC (MCGP) to comments and protests filed on August 31, 2000 regarding its Order No. 637 compliance filing. BP and Conoco stated their belief that MCGP has improperly construed Order Nos. 637 and 637-A by concluding that it may net foregone transportation revenues from operational flow order (OFO) penalty revenues. </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 xml:space="preserve">BP Exploration &amp; Oil, Inc. (BP) and Conoco, Inc. (Conoco) asserted that the passage of Order No. 637-A on which MCGP relied in its answer to justify netting costs incurred and foregone revenues from OFO penalty revenues credited to shippers does not address the issue of whether a pipeline may deduct foregone transportation revenues from penalty revenues.  BP and Conoco indicated that the passage in question discusses:  (i) whether a pipeline may deduct costs rather than foregone revenues, and concludes that it may be permissible if, in seeking to offset such costs a pipeline demonstrates that the shipper caused such costs; and (ii) penalty revenues that were included in a pipeline's rates and how they might be addressed.  BP and Conoco maintained that FERC made no statement concluding that a proposal such as MCGP's is permissible in Order No. 637-A.  </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BP and Conoco asserted that FERC should realize in evaluating MCGP's proposal that it potentially creates a revenue stream that dwarfs the pipeline penalty revenue incentive with which FERC is so concerned.  BP and Conoco urged that FERC should reject MCGP's proposal, particularly as there are no checks and balances set forth in MCGP's tariff to monitor such costs and determine whether they are legitimate and appropriately incurred.  BP and Conoco noted that shippers should not be forced to file a challenge under Section 5 of the Natural Gas Act to contest MCGP's retention of unspecified costs or revenues.</w:t>
      </w:r>
    </w:p>
    <w:p>
      <w:pPr>
        <w:pStyle w:val="Normal"/>
        <w:jc w:val="both"/>
        <w:rPr>
          <w:rFonts w:ascii="Verdana;Tahoma" w:hAnsi="Verdana;Tahoma" w:cs="Verdana;Tahoma"/>
          <w:sz w:val="24"/>
        </w:rPr>
      </w:pPr>
      <w:r>
        <w:rPr>
          <w:rFonts w:cs="Verdana;Tahoma" w:ascii="Verdana;Tahoma" w:hAnsi="Verdana;Tahoma"/>
          <w:sz w:val="24"/>
        </w:rPr>
      </w:r>
    </w:p>
    <w:p>
      <w:pPr>
        <w:pStyle w:val="Normal"/>
        <w:rPr>
          <w:rFonts w:ascii="Verdana;Tahoma" w:hAnsi="Verdana;Tahoma" w:cs="Verdana;Tahoma"/>
          <w:b/>
          <w:sz w:val="24"/>
        </w:rPr>
      </w:pPr>
      <w:r>
        <w:rPr>
          <w:rFonts w:cs="Verdana;Tahoma" w:ascii="Verdana;Tahoma" w:hAnsi="Verdana;Tahoma"/>
          <w:b/>
          <w:sz w:val="24"/>
        </w:rPr>
        <w:t>c. Nautilus Pipeline Company, L.L.C. (Nautilus)</w:t>
      </w:r>
    </w:p>
    <w:p>
      <w:pPr>
        <w:pStyle w:val="Normal"/>
        <w:ind w:firstLine="360" w:end="0"/>
        <w:rPr>
          <w:rFonts w:ascii="Verdana;Tahoma" w:hAnsi="Verdana;Tahoma" w:cs="Verdana;Tahoma"/>
          <w:sz w:val="22"/>
        </w:rPr>
      </w:pPr>
      <w:r>
        <w:rPr>
          <w:rFonts w:cs="Verdana;Tahoma" w:ascii="Verdana;Tahoma" w:hAnsi="Verdana;Tahoma"/>
          <w:sz w:val="22"/>
        </w:rPr>
        <w:t xml:space="preserve">Docket No. RP00-392-000 </w:t>
      </w:r>
    </w:p>
    <w:p>
      <w:pPr>
        <w:pStyle w:val="Normal"/>
        <w:rPr>
          <w:rFonts w:ascii="Verdana;Tahoma" w:hAnsi="Verdana;Tahoma" w:cs="Verdana;Tahoma"/>
          <w:sz w:val="22"/>
        </w:rPr>
      </w:pPr>
      <w:r>
        <w:rPr>
          <w:rFonts w:cs="Verdana;Tahoma" w:ascii="Verdana;Tahoma" w:hAnsi="Verdana;Tahoma"/>
          <w:sz w:val="22"/>
        </w:rPr>
      </w:r>
    </w:p>
    <w:p>
      <w:pPr>
        <w:pStyle w:val="Normal"/>
        <w:jc w:val="both"/>
        <w:rPr>
          <w:rFonts w:ascii="Verdana;Tahoma" w:hAnsi="Verdana;Tahoma" w:cs="Verdana;Tahoma"/>
          <w:sz w:val="24"/>
        </w:rPr>
      </w:pPr>
      <w:r>
        <w:rPr>
          <w:rFonts w:cs="Verdana;Tahoma" w:ascii="Verdana;Tahoma" w:hAnsi="Verdana;Tahoma"/>
          <w:sz w:val="24"/>
        </w:rPr>
        <w:t xml:space="preserve">On September 20, 2000, BP Exploration &amp; Oil, Inc. (BP) filed an answer to the answer of Nautilus to comments and protests filed on August 31, 2000 regarding its Order No. 637 compliance filing. BP stated its belief that Nautilus has improperly construed Order Nos. 637 and 637-A by concluding that it may net foregone transportation revenues from operational flow order (OFO) penalty revenues. </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 xml:space="preserve">BP Exploration &amp; Oil, Inc. (BP) asserted that the passage of Order No. 637-A on which Nautilus relied in its answer to justify netting costs incurred and foregone revenues from OFO penalty revenues credited to shippers does not address the issue of whether a pipeline may deduct foregone transportation revenues from penalty revenues.  BP noted that passage in question discusses:  (i) whether a pipeline may deduct costs rather than foregone revenues, and concludes that it may be permissible if, in seeking to offset such costs a pipeline demonstrates that the shipper caused such costs; and (ii) penalty revenues that were included in a pipeline's rates and how they might be addressed.  BP maintained that FERC made no statement concluding that a proposal such as Nautilus' is permissible in Order No. 637-A.  </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BP asserted that FERC should realize in evaluating Nautilus' proposal that it potentially creates a revenue stream that dwarfs the pipeline penalty revenue incentive with which FERC is so concerned.  BP urged that FERC should reject Nautilus' proposal, particularly as there are no checks and balances set forth in Nautilus' tariff to monitor such costs and determine whether they are legitimate and appropriately incurred.  BP noted that shippers should not be forced to file a challenge under Section 5 of the Natural Gas Act to contest Nautilus' retention of unspecified costs or revenues.</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b/>
          <w:sz w:val="24"/>
        </w:rPr>
      </w:pPr>
      <w:r>
        <w:rPr>
          <w:rFonts w:cs="Verdana;Tahoma" w:ascii="Verdana;Tahoma" w:hAnsi="Verdana;Tahoma"/>
          <w:b/>
          <w:sz w:val="24"/>
        </w:rPr>
        <w:t>d. National Fuel Gas Supply Corporation (National Fuel)</w:t>
      </w:r>
    </w:p>
    <w:p>
      <w:pPr>
        <w:pStyle w:val="Heading6"/>
        <w:rPr/>
      </w:pPr>
      <w:r>
        <w:rPr/>
        <w:t>Docket No. RP00-399-000</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MEP-II LLC (MEP-II) submitted supplemental comments in response to National Fuel's answer to protests and comments regarding its Order No. 637 compliance filing, filed on September 14, 2000.  MEP-II stated that its supplemental comments will assist FERC in resolving or clarifying the issues.  MEP-II addressed the issues of segmentation and penalties.  MEP-II said that National Fuel's further explanations of its positions are welcomed.  MEP-II stated it looks forward to a continued discussion of issues during the technical conference scheduled for September 26, 2000.</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MEP-II LLC (MEP-II) stated that it appreciates National Fuel's commitment that Section 2.5 of its tariff does allow shippers to nominate up to their MDTQ on each segment.</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 xml:space="preserve">MEP-II said that National Fuel's assurance that its proposal will allow FT shippers additional on-the-path primary points without losing their existing primary points is a welcomed advancement on that point.  However, MEP-II indicated that it remains concerned that National Fuel apparently continues to advocate that it not be subject to any time deadlines in evaluating whether capacity is available at the new point, and that its discretion in the regard would not be subjected to any delineated, objective factors.  </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MEP-II stated that it is pleased that National Fuel's stated position regarding backhauls has not changed from its tariff filing, the assurance of specific tariff language is still needed in this regard.  MEP-II asserted that given its stated position, there should be no reason for National Fuel to object to including clarifying language in the tariff.</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 xml:space="preserve">MEP-II stated that National Fuel's continued defense of its attempt to curtail existing secondary point rights of FT shippers is discouraging and counter-productive. MEP-II said that National Fuel wistfully contends that this is not a curtailment of existing rights because shippers would be able to choose between segmentation or [existing] off-the-path secondary point rights.  MEP-II asserted that this logic is seriously flawed.  MEP-II contended that because it is FERC policy, National Fuel cannot offer segmentation only as a trade-off for the removal of existing rights. </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MEP-II LLC (MEP-II) stated that National Fuel's explanation of its proposed penalty structure, while providing some illumination on National Fuel's reasoning, is also not persuasive.  MEP-II stated its concern that penalties for unauthorized tenders and receipts are discriminatory against FT and FT-S shippers has not been adequately answered.  MEP-II said that National Fuel's persistent contention that its cash-out mechanism and Transportation Balancing Fee (TBF) are not penalties is little more than a semantic exercise which does not address the essential points made by MEP-II and others, that these fees and charges are not restricted to situations which threaten system integrity, and that both of these mechanisms include more than simply costs.</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b/>
          <w:sz w:val="24"/>
        </w:rPr>
      </w:pPr>
      <w:r>
        <w:rPr>
          <w:rFonts w:cs="Verdana;Tahoma" w:ascii="Verdana;Tahoma" w:hAnsi="Verdana;Tahoma"/>
          <w:b/>
          <w:sz w:val="24"/>
        </w:rPr>
        <w:t xml:space="preserve">e. Midcoast Interstate Transmission (MIT) </w:t>
      </w:r>
    </w:p>
    <w:p>
      <w:pPr>
        <w:pStyle w:val="Heading6"/>
        <w:rPr/>
      </w:pPr>
      <w:r>
        <w:rPr/>
        <w:t xml:space="preserve">Docket No. RP00-401-000 </w:t>
      </w:r>
    </w:p>
    <w:p>
      <w:pPr>
        <w:pStyle w:val="Normal"/>
        <w:jc w:val="both"/>
        <w:rPr>
          <w:rFonts w:ascii="Verdana;Tahoma" w:hAnsi="Verdana;Tahoma" w:cs="Verdana;Tahoma"/>
          <w:sz w:val="24"/>
        </w:rPr>
      </w:pPr>
      <w:r>
        <w:rPr>
          <w:rFonts w:cs="Verdana;Tahoma" w:ascii="Verdana;Tahoma" w:hAnsi="Verdana;Tahoma"/>
          <w:sz w:val="24"/>
        </w:rPr>
      </w:r>
    </w:p>
    <w:p>
      <w:pPr>
        <w:pStyle w:val="BodyText"/>
        <w:rPr/>
      </w:pPr>
      <w:r>
        <w:rPr/>
        <w:t>On September 27, 2000, MIT opposed the September 18, 2000 motion of the Tennessee Valley Municipal Gas Association (TVMGA) for leave to answer MIT's September 1, 2000 answer to the timely protests and comments that have been filed in its Order No. 637 compliance filing.  MIT asserted that TVMGA'a proposed answer confuses, rather than clarifies, both the issues and the record, and therefore, its motion for leave to file its proposed answer should be denied.  MIT alleged that TVMGA's proposed response relative to segmentation provides a good illustration of how its proposed answer creates confusion, because while, as TVMGA claimed, it is true that the North Alabama Gas District (NAGD) may have delivery points that are geographically located upstream and downstream of its receipt points, there are no firm delivery points on MIT's system that, in a physical gas flow sense, are both upstream and downstream of a receipt point.  Alternatively, MIT suggested that FERC convene a technical conference if it has questions relative to MIT's Order No. 637 compliance filing.</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b/>
          <w:sz w:val="24"/>
        </w:rPr>
      </w:pPr>
      <w:r>
        <w:rPr>
          <w:rFonts w:cs="Verdana;Tahoma" w:ascii="Verdana;Tahoma" w:hAnsi="Verdana;Tahoma"/>
          <w:b/>
          <w:sz w:val="24"/>
        </w:rPr>
        <w:t>f. Iroquois Gas Transmission System L.P. (Iroquois)</w:t>
      </w:r>
    </w:p>
    <w:p>
      <w:pPr>
        <w:pStyle w:val="Heading7"/>
        <w:rPr/>
      </w:pPr>
      <w:r>
        <w:rPr/>
        <w:t xml:space="preserve">Docket No. RP00-411-000 </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Iroquois requested leave to answer the protests and comments filed in its Order No. 637 compliance filing and submitted that answer. Iroquois addressed the issues of segmentation, imbalance services, imbalance netting and trading, operational flow orders, and penalties.</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Iroquois stated that its current computer systems that handle nominations cannot accommodate an allocation process resulting from overlapping capacity segments that exceed nominations of the original contract MDQ without major re-engineering and reprogramming.  Iroquois stated that if it were required to permit overlapping capacity segmentation on its pipeline today absent the system overhauls, service to firm shippers may be degraded.  Iroquois asserted that it can only provide shippers with the ability to nominate capacity release transactions in overlapping segments within and outside of the primary path if Iroquois' computer systems were redesigned to accommodate this significant change in current practice, which Iroquois anticipates would take at least one year to complete the required system modifications.  Iroquois requested that FERC allow it to delay implementation of the segmentation policy in this regard for one year from the date that Iroquois' pro forma tariff sheets are made effective if FERC determines that Iroquois must provide releasing and replacement shippers the right to nominate secondary points outside their paths.  As a result of the above clarification, Iroquois requested that Con Edison's request for a technical conference on this issue be denied.</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Iroquois clarified that its system will not prohibit forwardhauls and backhauls to the same delivery point as long as mainline contract demand is not exceeded and it is operationally possible for the delivery to occur at the meter.  Iroquois made the same argument and request as above regarding its current computer capabilities.</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Iroquois submitted that the change requested by Dynegy to change its discount provisions is not required.  Iroquois stated that it grants discounts based on the specific competitive circumstances of a single receipt or delivery point, and therefore, it is simply not feasible or economically prudent to require that a discount apply to all points within a shipper's primary path.  Iroquois noted that if FERC were to require pipelines to apply a discount to a shipper's use of all points within its primary path, then it would essentially force pipelines to provide discounts that they may not have granted otherwise, thereby abolishing the voluntary nature of discounting.</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Iroquois stated it is in full compliance with the directive to offer imbalance management services to their shippers because all delivery points on Iroquois' system are covered by Operational Balancing Agreements (OBAs) under which Iroquois and the downstream operator have agreed to take responsibility for imbalances.  Further, Iroquois said that because Iroquois has OBAs in place at all points, shippers are not charged with imbalances on the Iroquois, and are therefore not forced to utilize PALs in order to avoid imbalance penalties.</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Iroquois said that no change in its tariff is required to allow shippers to net and trade imbalances on various rate schedules, as Dynegy alleged in its protest.  Iroquois asserted that that Order No. 637 did not require pipelines to implement netting and trading of imbalances, and therefore, Dynegy's request is beyond the scope of Order No. 637.  Additionally, Iroquois asserted that such a requirement would be superfluous on Iroquois's system because OBAs are in place at each receipt and delivery point.</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Iroquois stated that the general concerns expressed about Iroquois' proposed operational flow order (OFO) provisions are unfounded, because Iroquois has never issued an OFO since commencement of service in 1991 and Iroquois has demonstrated that its operating philosophy is to work closely with system operators to avoid operational conditions that would cause the issuance of an OFO.  Iroquois asserted that Shell and Boston Gas misunderstood the nature and importance of the OFO provision which relates to PALs.  Iroquois argued that the sole discretion protested is essential, due to Iroquois' obligation to ensure that PALs service does not impair timely-nominated firm or interruptible transportation service.  Further, Iroquois asserted that its proposal fully complies with Order No. 637 and that its operational track record has clearly demonstrated its commitment to prevent any OFO situations by maintaining close communication with system operators.</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Iroquois stated that it attempted to balance its need to maintain control over its system with FERC's determination that penalties should be narrowly designed to deter only conduct that is actually harmful to a pipeline's system.  Iroquois asserted that no changes were required resulting from Shell's challenges regarding scheduling and balancing penalties.  First, Iroquois said that Shell provides no evidence that inaccurate data resulting in assessment of imbalance penalties is an issue on Iroquois' system.  Second, Iroquois stated that Order No. 637 did not require pipelines to change balancing tolerance levels and Iroquois proposed no change to its existing 4% daily balancing tolerance level.  Therefore, Iroquois reasoned that Shell's request is beyond the scope of Order No. 637.</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Iroquois stated that its increased overrun penalty to $25/dth resulted from a corresponding change proposed by Algonquin, asserting that their penalties should be equal so that there is no incentive for shippers to overrun on Iroquois instead of Algonquin.  Iroquois asserted that no change to this proposal is required.  Further, Iroquois stated that its proposal to change the calculation for unauthorized overruns to reflect scheduled quantities strikes the proper balance from an overall system management perspective.  Iroquois noted that the penalty would be assessed only if there is an overall overrun at the delivery point and such overrun causes operational difficulties or affects the integrity of Iroquois' system or ability to render scheduled service.</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Iroquois stated it agreed with the commentors regarding its scheduling and balancing crediting mechanism and thus proposes to credit all scheduling and balancing penalty revenues to firm, non-offending shippers.  Additionally, Iroquois clarified that it has no intention of denying penalty revenue sharing to an offending shipper indefinitely, stating that Iroquois proposes to provide that offending shippers will be precluded form sharing in penalty revenues only in the month in which the offense occurred.</w:t>
      </w:r>
    </w:p>
    <w:p>
      <w:pPr>
        <w:pStyle w:val="Normal"/>
        <w:rPr>
          <w:rFonts w:ascii="Verdana;Tahoma" w:hAnsi="Verdana;Tahoma" w:cs="Verdana;Tahoma"/>
          <w:sz w:val="22"/>
        </w:rPr>
      </w:pPr>
      <w:r>
        <w:rPr>
          <w:rFonts w:cs="Verdana;Tahoma" w:ascii="Verdana;Tahoma" w:hAnsi="Verdana;Tahoma"/>
          <w:sz w:val="22"/>
        </w:rPr>
      </w:r>
    </w:p>
    <w:p>
      <w:pPr>
        <w:pStyle w:val="Heading1"/>
        <w:ind w:hanging="0" w:start="0"/>
        <w:rPr>
          <w:rFonts w:ascii="Verdana;Tahoma" w:hAnsi="Verdana;Tahoma" w:cs="Verdana;Tahoma"/>
          <w:sz w:val="22"/>
        </w:rPr>
      </w:pPr>
      <w:r>
        <w:rPr>
          <w:rFonts w:cs="Verdana;Tahoma"/>
          <w:sz w:val="22"/>
        </w:rPr>
      </w:r>
    </w:p>
    <w:p>
      <w:pPr>
        <w:pStyle w:val="Heading1"/>
        <w:ind w:hanging="270" w:start="0" w:end="0"/>
        <w:rPr/>
      </w:pPr>
      <w:r>
        <w:rPr/>
        <w:t>3. Removal of Price Cap and ROFR</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b/>
          <w:sz w:val="24"/>
        </w:rPr>
      </w:pPr>
      <w:r>
        <w:rPr>
          <w:rFonts w:cs="Verdana;Tahoma" w:ascii="Verdana;Tahoma" w:hAnsi="Verdana;Tahoma"/>
          <w:b/>
          <w:sz w:val="24"/>
        </w:rPr>
        <w:t>a. Reliant Energy Gas Transmission Company (REGT)</w:t>
      </w:r>
    </w:p>
    <w:p>
      <w:pPr>
        <w:pStyle w:val="Heading6"/>
        <w:rPr/>
      </w:pPr>
      <w:r>
        <w:rPr/>
        <w:t xml:space="preserve">Docket No. RP00-509-000 </w:t>
      </w:r>
    </w:p>
    <w:p>
      <w:pPr>
        <w:pStyle w:val="Normal"/>
        <w:jc w:val="both"/>
        <w:rPr>
          <w:rFonts w:ascii="Verdana;Tahoma" w:hAnsi="Verdana;Tahoma" w:eastAsia="Verdana;Tahoma" w:cs="Verdana;Tahoma"/>
          <w:sz w:val="24"/>
        </w:rPr>
      </w:pPr>
      <w:r>
        <w:rPr>
          <w:rFonts w:eastAsia="Verdana;Tahoma" w:cs="Verdana;Tahoma" w:ascii="Verdana;Tahoma" w:hAnsi="Verdana;Tahoma"/>
          <w:sz w:val="24"/>
        </w:rPr>
        <w:t xml:space="preserve"> </w:t>
      </w:r>
    </w:p>
    <w:p>
      <w:pPr>
        <w:pStyle w:val="Normal"/>
        <w:jc w:val="both"/>
        <w:rPr>
          <w:rFonts w:ascii="Verdana;Tahoma" w:hAnsi="Verdana;Tahoma" w:cs="Verdana;Tahoma"/>
          <w:sz w:val="24"/>
        </w:rPr>
      </w:pPr>
      <w:r>
        <w:rPr>
          <w:rFonts w:cs="Verdana;Tahoma" w:ascii="Verdana;Tahoma" w:hAnsi="Verdana;Tahoma"/>
          <w:sz w:val="24"/>
        </w:rPr>
        <w:t xml:space="preserve">On September 29, 2000, FERC issued an order that accepted REGT's August 31, 2000 revised tariff sheets, to be effective March 27, 2000.  The tariff sheets implemented the two-year waiver of the price ceiling for short-term capacity release transactions.  The tariff sheets also reflected revisions for the effect of the waiver on the posting and bidding process.  </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b/>
          <w:sz w:val="24"/>
        </w:rPr>
      </w:pPr>
      <w:r>
        <w:rPr>
          <w:rFonts w:cs="Verdana;Tahoma" w:ascii="Verdana;Tahoma" w:hAnsi="Verdana;Tahoma"/>
          <w:b/>
          <w:sz w:val="24"/>
        </w:rPr>
        <w:t xml:space="preserve">b. Mississippi River Transmission Corporation (MRT) </w:t>
      </w:r>
    </w:p>
    <w:p>
      <w:pPr>
        <w:pStyle w:val="Heading6"/>
        <w:rPr/>
      </w:pPr>
      <w:r>
        <w:rPr/>
        <w:t xml:space="preserve">Docket No. RP00-510-000 </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On September 27, 2000, FERC issued an order which accepted MRT's August 31, 2000 revised tariff sheets that implement the waiver of the price ceiling for short-term capacity release transactions until September 30, 2002 and account for how this waiver affects the posting and bidding process</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b/>
          <w:sz w:val="24"/>
        </w:rPr>
      </w:pPr>
      <w:r>
        <w:rPr>
          <w:rFonts w:cs="Verdana;Tahoma" w:ascii="Verdana;Tahoma" w:hAnsi="Verdana;Tahoma"/>
          <w:b/>
          <w:sz w:val="24"/>
        </w:rPr>
        <w:t>c. Algonquin LNG, Inc. (ALNG)</w:t>
      </w:r>
    </w:p>
    <w:p>
      <w:pPr>
        <w:pStyle w:val="Heading6"/>
        <w:rPr/>
      </w:pPr>
      <w:r>
        <w:rPr/>
        <w:t xml:space="preserve">Docket No. RP00-512-000 </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 xml:space="preserve">On September 28, 2000, FERC issued an order that accepted ALNG’s August 31, 2000 revised tariff sheets which comply with the requirement of Order No. 637 to eliminate the price cap on short term capacity release transactions.  FERC clarified that ALNG will continue to be under an obligation to make refunds directly to the releasing shipper of any amounts received by it in excess of the ultimately approved just and reasonable maximum rates.  FERC also stated that the rate paid by the replacement shipper for short-term capacity is not subject to refund under Order No. 637. </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Specifically, the August 31, 2000 tariff sheets 1) waived the rate ceiling for short-term (less than one year) capacity release transactions until September 30, 2002, 2) modified its tariff to state the rate for short-term releases during the period through September 30, 2002 is not subject to refund, and 3) made ROFR applicable to only contracts at the maximum tariff rate having a term of service of 12 consecutive months or longer or for more than one year in instances in which the service is not available on a 12 consecutive month basis.</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b/>
          <w:sz w:val="24"/>
        </w:rPr>
      </w:pPr>
      <w:r>
        <w:rPr>
          <w:rFonts w:cs="Verdana;Tahoma" w:ascii="Verdana;Tahoma" w:hAnsi="Verdana;Tahoma"/>
          <w:b/>
          <w:sz w:val="24"/>
        </w:rPr>
        <w:t>d. Iroquois Gas Transmission System L.P. (Iroquois)</w:t>
      </w:r>
    </w:p>
    <w:p>
      <w:pPr>
        <w:pStyle w:val="Heading6"/>
        <w:rPr/>
      </w:pPr>
      <w:r>
        <w:rPr/>
        <w:t xml:space="preserve">Docket No. RP00-529-000 </w:t>
      </w:r>
    </w:p>
    <w:p>
      <w:pPr>
        <w:pStyle w:val="Heading2"/>
        <w:ind w:hanging="0" w:start="0"/>
        <w:rPr/>
      </w:pPr>
      <w:r>
        <w:rPr/>
      </w:r>
    </w:p>
    <w:p>
      <w:pPr>
        <w:pStyle w:val="Heading2"/>
        <w:ind w:hanging="0" w:start="0"/>
        <w:rPr/>
      </w:pPr>
      <w:r>
        <w:rPr/>
        <w:t xml:space="preserve">On September 28, 2000, FERC issued an order that accepted Iroquois' tariff sheets that were filed on September 1, 2000. Iroquois proposed 1) to remove the price cap for short-term capacity releases of less than one year; 2) to reflect the posting of certain information on Iroquois' Internet website instead of its Electronic Bulletin Board; and 3) to reflect the availability of marketing affiliate information on Iroquois' Internet website.  </w:t>
      </w:r>
    </w:p>
    <w:p>
      <w:pPr>
        <w:pStyle w:val="Normal"/>
        <w:jc w:val="both"/>
        <w:rPr>
          <w:rFonts w:ascii="Verdana;Tahoma" w:hAnsi="Verdana;Tahoma" w:eastAsia="Verdana;Tahoma" w:cs="Verdana;Tahoma"/>
          <w:sz w:val="24"/>
        </w:rPr>
      </w:pPr>
      <w:r>
        <w:rPr>
          <w:rFonts w:eastAsia="Verdana;Tahoma" w:cs="Verdana;Tahoma" w:ascii="Verdana;Tahoma" w:hAnsi="Verdana;Tahoma"/>
          <w:sz w:val="24"/>
        </w:rPr>
        <w:t xml:space="preserve"> </w:t>
      </w:r>
    </w:p>
    <w:p>
      <w:pPr>
        <w:pStyle w:val="Normal"/>
        <w:jc w:val="both"/>
        <w:rPr>
          <w:rFonts w:ascii="Verdana;Tahoma" w:hAnsi="Verdana;Tahoma" w:cs="Verdana;Tahoma"/>
          <w:b/>
          <w:sz w:val="24"/>
        </w:rPr>
      </w:pPr>
      <w:r>
        <w:rPr>
          <w:rFonts w:cs="Verdana;Tahoma" w:ascii="Verdana;Tahoma" w:hAnsi="Verdana;Tahoma"/>
          <w:b/>
          <w:sz w:val="24"/>
        </w:rPr>
        <w:t>e. Eastern Shore Natural Gas Co. (Eastern Shore)</w:t>
      </w:r>
    </w:p>
    <w:p>
      <w:pPr>
        <w:pStyle w:val="Heading6"/>
        <w:rPr/>
      </w:pPr>
      <w:r>
        <w:rPr/>
        <w:t xml:space="preserve">Docket No. RP00-537-000 </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On September 28, 2000, FERC issued an order that accepted Eastern Shore's  revised tariff sheets that were filed on September 1, 2000.  The tariff sheets were submitted  in order to comply with the requirements of FERC Order Nos. 637, 637-A and 637-B.  The tariff sheets that removed the maximum price cap for capacity release transactions of less than one year are to be effective March 27, 2000.  The tariff sheets that modified its ROFR provisions are to be effective October 1, 2000.</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b/>
          <w:sz w:val="24"/>
        </w:rPr>
      </w:pPr>
      <w:r>
        <w:rPr>
          <w:rFonts w:cs="Verdana;Tahoma" w:ascii="Verdana;Tahoma" w:hAnsi="Verdana;Tahoma"/>
          <w:b/>
          <w:sz w:val="24"/>
        </w:rPr>
        <w:t>f. Chandeleur Pipe Line Company (Chandeleur)</w:t>
      </w:r>
    </w:p>
    <w:p>
      <w:pPr>
        <w:pStyle w:val="Heading7"/>
        <w:rPr/>
      </w:pPr>
      <w:r>
        <w:rPr/>
        <w:t xml:space="preserve">Docket No. RP00-563-000 </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Chandeleur Pipe Line Company filed tariff sheets to narrow the scope of its right of first refusal (ROFR) and to clarify the temporary waiver of the maximum rate ceiling until September 30, 2000, in its tariff in compliance with Order No. 637.</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Chandeleur revised its tariff so that ROFR only applies to maximum rate contracts for 12 or more consecutive months of firm transportation services. Chandeleur stated that it has no discounted or negotiated firm transportation service agreements in effect to grandfather. Chandeleur also stated that it does not offer any seasonal services or rates that conflict with the 12 month consecutive service requirement.</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Additionally, in this filing Chandeleur corrected the statement made in its June 14, 2000 compliance letter statement which stated that it did not address the lifting of the maximum ceiling rate provision of Order No. 637. Chandeleur stated that its June 15, 2000 compliance filing did address the exemption for posting and bidding requirements at maximum tariff rate for prearranged transactions. In this filing, Chandeleur added tariff language to clarify the applicability of the waiver of the maximum rate ceiling provision and definine the billing process for release transactions in excess of its maximum rate ceiling.</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b/>
          <w:sz w:val="24"/>
        </w:rPr>
      </w:pPr>
      <w:r>
        <w:rPr>
          <w:rFonts w:cs="Verdana;Tahoma" w:ascii="Verdana;Tahoma" w:hAnsi="Verdana;Tahoma"/>
          <w:b/>
          <w:sz w:val="24"/>
        </w:rPr>
        <w:t>g. Kern River Gas Transmission Company (Kern River)</w:t>
      </w:r>
    </w:p>
    <w:p>
      <w:pPr>
        <w:pStyle w:val="Heading6"/>
        <w:rPr/>
      </w:pPr>
      <w:r>
        <w:rPr/>
        <w:t xml:space="preserve">Docket No. RP00-505-000 </w:t>
      </w:r>
    </w:p>
    <w:p>
      <w:pPr>
        <w:pStyle w:val="Normal"/>
        <w:jc w:val="both"/>
        <w:rPr>
          <w:rFonts w:ascii="Verdana;Tahoma" w:hAnsi="Verdana;Tahoma" w:cs="Verdana;Tahoma"/>
          <w:sz w:val="24"/>
        </w:rPr>
      </w:pPr>
      <w:r>
        <w:rPr>
          <w:rFonts w:cs="Verdana;Tahoma" w:ascii="Verdana;Tahoma" w:hAnsi="Verdana;Tahoma"/>
          <w:sz w:val="24"/>
        </w:rPr>
      </w:r>
    </w:p>
    <w:p>
      <w:pPr>
        <w:pStyle w:val="BodyText"/>
        <w:rPr/>
      </w:pPr>
      <w:r>
        <w:rPr/>
        <w:t>On September 29, 2000, Kern River filed a corrected version of Appendix A, to replace the one filed on August 25, 2000.  Kern River realized after filing that Original Sheet Nos. 98-A and 108-A were set out in the original filing as First Revised Sheet Nos. 98-A and 108-A.  Kern River requested that FERC accept the corrected version of Appendix A.</w:t>
      </w:r>
    </w:p>
    <w:p>
      <w:pPr>
        <w:pStyle w:val="Normal"/>
        <w:rPr>
          <w:rFonts w:ascii="Verdana;Tahoma" w:hAnsi="Verdana;Tahoma" w:cs="Verdana;Tahoma"/>
          <w:sz w:val="24"/>
        </w:rPr>
      </w:pPr>
      <w:r>
        <w:rPr>
          <w:rFonts w:cs="Verdana;Tahoma" w:ascii="Verdana;Tahoma" w:hAnsi="Verdana;Tahoma"/>
          <w:sz w:val="24"/>
        </w:rPr>
      </w:r>
    </w:p>
    <w:p>
      <w:pPr>
        <w:pStyle w:val="Normal"/>
        <w:rPr>
          <w:rFonts w:ascii="Verdana;Tahoma" w:hAnsi="Verdana;Tahoma" w:cs="Verdana;Tahoma"/>
          <w:sz w:val="24"/>
        </w:rPr>
      </w:pPr>
      <w:r>
        <w:rPr>
          <w:rFonts w:cs="Verdana;Tahoma" w:ascii="Verdana;Tahoma" w:hAnsi="Verdana;Tahoma"/>
          <w:sz w:val="24"/>
        </w:rPr>
        <w:t>On August 25, 2000, Kern River Gas Transmission Company (Kern River) filed revised tariff sheets to 1) conform Kern River's tariff to Order No. 637 regarding the temporary removal of the rate ceiling for short-term capacity release transactions and the right of first refusal (ROFR), and 2) add language setting forth Kern River's current policy pertaining to partial capacity turnbacks resulting from a shipper's election to exercise a ROFR for a portion of its capacity, to permanently release a portion of its capacity, or to extend the contract term for a portion of its capacity.</w:t>
      </w:r>
    </w:p>
    <w:p>
      <w:pPr>
        <w:pStyle w:val="BodyText"/>
        <w:rPr>
          <w:rFonts w:ascii="Verdana;Tahoma" w:hAnsi="Verdana;Tahoma" w:cs="Verdana;Tahoma"/>
          <w:sz w:val="24"/>
        </w:rPr>
      </w:pPr>
      <w:r>
        <w:rPr>
          <w:rFonts w:cs="Verdana;Tahoma"/>
          <w:sz w:val="24"/>
        </w:rPr>
      </w:r>
    </w:p>
    <w:p>
      <w:pPr>
        <w:pStyle w:val="Normal"/>
        <w:jc w:val="both"/>
        <w:rPr/>
      </w:pPr>
      <w:r>
        <w:rPr>
          <w:rFonts w:cs="Verdana;Tahoma" w:ascii="Verdana;Tahoma" w:hAnsi="Verdana;Tahoma"/>
          <w:b/>
          <w:sz w:val="24"/>
        </w:rPr>
        <w:t>h.</w:t>
      </w:r>
      <w:r>
        <w:rPr>
          <w:rFonts w:cs="Verdana;Tahoma" w:ascii="Verdana;Tahoma" w:hAnsi="Verdana;Tahoma"/>
          <w:sz w:val="24"/>
        </w:rPr>
        <w:t xml:space="preserve"> </w:t>
      </w:r>
      <w:r>
        <w:rPr>
          <w:rFonts w:cs="Verdana;Tahoma" w:ascii="Verdana;Tahoma" w:hAnsi="Verdana;Tahoma"/>
          <w:b/>
          <w:sz w:val="24"/>
        </w:rPr>
        <w:t>ANR Pipeline Company (ANR)</w:t>
      </w:r>
    </w:p>
    <w:p>
      <w:pPr>
        <w:pStyle w:val="Heading6"/>
        <w:rPr/>
      </w:pPr>
      <w:r>
        <w:rPr/>
        <w:t xml:space="preserve">Docket No. RP00-542-000 </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Rochester Gas and Electric Corporation (RG&amp;E) filed a motion to intervene and protest the September 12, 2000 filing made by ANR Pipeline Company (ANR).  RG&amp;E stated concern that language in ANR's filing addressing the rollover and continuation of prearranged release transactions is not in compliance with Order Nos. 673 and 637-A. and conflicts with Section 284.8 of FERC's regulations.  RG&amp;E noted that Paragraph 21.1(m) of ANR's tariff states that 30 days must pass before a shipper can re-release capacity to a replacement shipper without complying with the posting and bidding requirements.  RG&amp;E stated that FERC required in Order No. 577 that the waiting period applicable to releases for 31 days or less be reduced from 30 days to 28 days.  RG&amp;E stated that ANR has provided no justification for the more restrictive requirement of 30 days in its tariff.  RG&amp;E asserted that requiring 30 days unnecessarily restricts a releasing shipper's ability to enter into capacity release transactions and is inconsistent wit FERC policy and regulations.  RG&amp;E suggested that FERC require ANR to file a revised tariff sheet reflecting a 28 day waiting period for capacity release transactions of 31 days or less.</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b/>
          <w:sz w:val="24"/>
        </w:rPr>
      </w:pPr>
      <w:r>
        <w:rPr>
          <w:rFonts w:cs="Verdana;Tahoma" w:ascii="Verdana;Tahoma" w:hAnsi="Verdana;Tahoma"/>
          <w:b/>
          <w:sz w:val="24"/>
        </w:rPr>
        <w:t xml:space="preserve">i. High Island Offshore System, LLC (HIOS) </w:t>
      </w:r>
    </w:p>
    <w:p>
      <w:pPr>
        <w:pStyle w:val="Heading7"/>
        <w:rPr/>
      </w:pPr>
      <w:r>
        <w:rPr/>
        <w:t xml:space="preserve">Docket No. RP00-547-000 </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Amoco Production Company and BP Energy Company (collectively, BP) intervened and requested clarification regarding language that is present regarding releases not subject to bidding in HIOS’ September 15, 2000 filing which lifts the maximum rate ceiling for short-term capacity release transactions until September 30, 2002.  BP stated that in Section 17.5(b), Releases Not Subject to Bidding, HIOS added language indicating that bidding is not applicable for capacity releases where a releasing shipper has obtained a prearranged shipper to pay the maximum rate and the release term is more than one year during the period until September 30, 2002.  BP requested clarification that this language should state one year or more rather than more than one year and stated that HIOS should be required to change the wording of Section 17.5(b) to reflect the correct definition of a long-term transaction.</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b/>
          <w:sz w:val="24"/>
        </w:rPr>
      </w:pPr>
      <w:r>
        <w:rPr>
          <w:rFonts w:cs="Verdana;Tahoma" w:ascii="Verdana;Tahoma" w:hAnsi="Verdana;Tahoma"/>
          <w:b/>
          <w:sz w:val="24"/>
        </w:rPr>
        <w:t xml:space="preserve">j. U-T Offshore System, LLC (U-TOS) </w:t>
      </w:r>
    </w:p>
    <w:p>
      <w:pPr>
        <w:pStyle w:val="Heading1"/>
        <w:ind w:firstLine="270" w:start="0" w:end="0"/>
        <w:rPr>
          <w:b w:val="false"/>
        </w:rPr>
      </w:pPr>
      <w:r>
        <w:rPr>
          <w:b w:val="false"/>
        </w:rPr>
        <w:t xml:space="preserve">Docket No. RP00-549-000 </w:t>
      </w:r>
    </w:p>
    <w:p>
      <w:pPr>
        <w:pStyle w:val="Normal"/>
        <w:jc w:val="both"/>
        <w:rPr>
          <w:rFonts w:ascii="Verdana;Tahoma" w:hAnsi="Verdana;Tahoma" w:cs="Verdana;Tahoma"/>
          <w:b/>
          <w:sz w:val="24"/>
        </w:rPr>
      </w:pPr>
      <w:r>
        <w:rPr>
          <w:rFonts w:cs="Verdana;Tahoma" w:ascii="Verdana;Tahoma" w:hAnsi="Verdana;Tahoma"/>
          <w:b/>
          <w:sz w:val="24"/>
        </w:rPr>
      </w:r>
    </w:p>
    <w:p>
      <w:pPr>
        <w:pStyle w:val="Normal"/>
        <w:jc w:val="both"/>
        <w:rPr>
          <w:rFonts w:ascii="Verdana;Tahoma" w:hAnsi="Verdana;Tahoma" w:cs="Verdana;Tahoma"/>
          <w:sz w:val="24"/>
        </w:rPr>
      </w:pPr>
      <w:r>
        <w:rPr>
          <w:rFonts w:cs="Verdana;Tahoma" w:ascii="Verdana;Tahoma" w:hAnsi="Verdana;Tahoma"/>
          <w:sz w:val="24"/>
        </w:rPr>
        <w:t>On September 27, 2000, Amoco Production Company and BP Energy Company (collectively, BP) filed a motion to intervene and request clarification in the compliance filing of U-TOS. BP requested clarification of U-TOS' filing stating that language indicating that bidding is not applicable for capacity releases of more than one year should state that such bidding is not applicable for capacity releases of one year or more.</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b/>
          <w:sz w:val="24"/>
        </w:rPr>
      </w:pPr>
      <w:r>
        <w:rPr>
          <w:rFonts w:cs="Verdana;Tahoma" w:ascii="Verdana;Tahoma" w:hAnsi="Verdana;Tahoma"/>
          <w:b/>
          <w:sz w:val="24"/>
        </w:rPr>
        <w:t>k. Stingray Pipeline Company (Stingray)</w:t>
      </w:r>
    </w:p>
    <w:p>
      <w:pPr>
        <w:pStyle w:val="Heading6"/>
        <w:rPr/>
      </w:pPr>
      <w:r>
        <w:rPr/>
        <w:t xml:space="preserve">Docket No. RP00-550-000 </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Chevron U.S.A. Inc. (Chevron) intervened and requested clarification of language contained in the Open Seasons Exceptions section of Stingray's September 15, 2000 filing which lifted the maximum rate ceiling for short-term capacity release transactions until September 30, 2002.  Chevron requested clarification of language contained in Section 16.6, Open Seasons Exceptions, where Stingray added language indicating that bidding is not applicable for capacity releases where a releasing shipper has obtained a prearranged shipper to pay the maximum rate and the release term is more than one year during the period until September 30, 2002.  Chevron requested clarification that this language should read one year or more rather than more than one year, and stated that this change should be required to reflect the correct definition of a long-term transaction.</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b/>
          <w:sz w:val="24"/>
        </w:rPr>
      </w:pPr>
      <w:r>
        <w:rPr>
          <w:rFonts w:cs="Verdana;Tahoma" w:ascii="Verdana;Tahoma" w:hAnsi="Verdana;Tahoma"/>
          <w:b/>
          <w:sz w:val="24"/>
        </w:rPr>
      </w:r>
    </w:p>
    <w:p>
      <w:pPr>
        <w:pStyle w:val="Normal"/>
        <w:ind w:hanging="360" w:end="0"/>
        <w:jc w:val="both"/>
        <w:rPr>
          <w:rFonts w:ascii="Verdana;Tahoma" w:hAnsi="Verdana;Tahoma" w:cs="Verdana;Tahoma"/>
          <w:b/>
          <w:sz w:val="24"/>
        </w:rPr>
      </w:pPr>
      <w:r>
        <w:rPr>
          <w:rFonts w:cs="Verdana;Tahoma" w:ascii="Verdana;Tahoma" w:hAnsi="Verdana;Tahoma"/>
          <w:b/>
          <w:sz w:val="24"/>
        </w:rPr>
        <w:t>4. Standards of Conduct</w:t>
      </w:r>
    </w:p>
    <w:p>
      <w:pPr>
        <w:pStyle w:val="Normal"/>
        <w:jc w:val="both"/>
        <w:rPr>
          <w:rFonts w:ascii="Verdana;Tahoma" w:hAnsi="Verdana;Tahoma" w:cs="Verdana;Tahoma"/>
          <w:b/>
          <w:sz w:val="24"/>
        </w:rPr>
      </w:pPr>
      <w:r>
        <w:rPr>
          <w:rFonts w:cs="Verdana;Tahoma" w:ascii="Verdana;Tahoma" w:hAnsi="Verdana;Tahoma"/>
          <w:b/>
          <w:sz w:val="24"/>
        </w:rPr>
      </w:r>
    </w:p>
    <w:p>
      <w:pPr>
        <w:pStyle w:val="Normal"/>
        <w:jc w:val="both"/>
        <w:rPr>
          <w:rFonts w:ascii="Verdana;Tahoma" w:hAnsi="Verdana;Tahoma" w:cs="Verdana;Tahoma"/>
          <w:b/>
          <w:sz w:val="24"/>
        </w:rPr>
      </w:pPr>
      <w:r>
        <w:rPr>
          <w:rFonts w:cs="Verdana;Tahoma" w:ascii="Verdana;Tahoma" w:hAnsi="Verdana;Tahoma"/>
          <w:b/>
          <w:sz w:val="24"/>
        </w:rPr>
        <w:t>a. Michigan Gas Storage Company (Michigan Gas)</w:t>
      </w:r>
    </w:p>
    <w:p>
      <w:pPr>
        <w:pStyle w:val="Heading6"/>
        <w:rPr/>
      </w:pPr>
      <w:r>
        <w:rPr/>
        <w:t>Docket No. MG00-009-000</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 xml:space="preserve">On September 28, 2000, FERC issued an order which accepted Michigan Gas' July 25, 2000 filing to amend its standards of conduct procedures pursuant to FERC's Order Nos. 637 and 599.  </w:t>
      </w:r>
    </w:p>
    <w:p>
      <w:pPr>
        <w:pStyle w:val="Normal"/>
        <w:jc w:val="both"/>
        <w:rPr>
          <w:rFonts w:ascii="Verdana;Tahoma" w:hAnsi="Verdana;Tahoma" w:cs="Verdana;Tahoma"/>
          <w:sz w:val="24"/>
        </w:rPr>
      </w:pPr>
      <w:r>
        <w:rPr>
          <w:rFonts w:cs="Verdana;Tahoma" w:ascii="Verdana;Tahoma" w:hAnsi="Verdana;Tahoma"/>
          <w:sz w:val="24"/>
        </w:rPr>
      </w:r>
    </w:p>
    <w:p>
      <w:pPr>
        <w:pStyle w:val="BodyText"/>
        <w:rPr/>
      </w:pPr>
      <w:r>
        <w:rPr/>
        <w:t>In these orders, FERC expanded its affiliate regulations so that more information is required to permit monitoring and self-policing of affiliate transactions.  FERC also revised the standards of conduct for interstate pipelines to specifically require that pipelines with marketing affiliates post certain information concerning their affiliates on their Internet web sites and to update the information within three business days of any change.  Michigan Gas amended twelve provisions in Standards F, H and L accordingly.</w:t>
      </w:r>
    </w:p>
    <w:p>
      <w:pPr>
        <w:pStyle w:val="Normal"/>
        <w:jc w:val="both"/>
        <w:rPr>
          <w:rFonts w:ascii="Verdana;Tahoma" w:hAnsi="Verdana;Tahoma" w:cs="Verdana;Tahoma"/>
          <w:sz w:val="24"/>
        </w:rPr>
      </w:pPr>
      <w:r>
        <w:rPr>
          <w:rFonts w:cs="Verdana;Tahoma" w:ascii="Verdana;Tahoma" w:hAnsi="Verdana;Tahoma"/>
          <w:sz w:val="24"/>
        </w:rPr>
      </w:r>
    </w:p>
    <w:p>
      <w:pPr>
        <w:pStyle w:val="Normal"/>
        <w:rPr>
          <w:rFonts w:ascii="Verdana;Tahoma" w:hAnsi="Verdana;Tahoma" w:cs="Verdana;Tahoma"/>
          <w:b/>
          <w:sz w:val="24"/>
        </w:rPr>
      </w:pPr>
      <w:r>
        <w:rPr>
          <w:rFonts w:cs="Verdana;Tahoma" w:ascii="Verdana;Tahoma" w:hAnsi="Verdana;Tahoma"/>
          <w:b/>
          <w:sz w:val="24"/>
        </w:rPr>
        <w:t>b. Northwest Pipeline Corporation (Northwest)</w:t>
      </w:r>
    </w:p>
    <w:p>
      <w:pPr>
        <w:pStyle w:val="Heading8"/>
        <w:rPr/>
      </w:pPr>
      <w:r>
        <w:rPr/>
        <w:t xml:space="preserve">Docket No.  MG00-010-000 </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On September 22, 2000, Northwest filed its standards of conduct related to its business dealings with its marketing affiliates. Northwest stated that it and its employees will comply with the standards of conduct to ensure that all customers receive equal treatment and that marketing affiliates are not granted favorable treatment in service agreements.</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Northwest is updating its standards of conduct filed on May 8, 1997 in Docket No. MG97-13 to incorporate Standard L. In addition Northwest is modifying Standard E to read “Northwest will not disclose to its marketing affiliates any information it receives from a non-affiliate shipper or potential non-affiliated shipper unless disclosure of such information of personnel of a marketing affiliate is acceptable upon voluntary and written consent of the non-affiliated shipper or potential non-affiliated shipper.”</w:t>
      </w:r>
    </w:p>
    <w:p>
      <w:pPr>
        <w:pStyle w:val="Normal"/>
        <w:jc w:val="both"/>
        <w:rPr>
          <w:rFonts w:ascii="Verdana;Tahoma" w:hAnsi="Verdana;Tahoma" w:cs="Verdana;Tahoma"/>
          <w:sz w:val="24"/>
        </w:rPr>
      </w:pPr>
      <w:r>
        <w:rPr>
          <w:rFonts w:cs="Verdana;Tahoma" w:ascii="Verdana;Tahoma" w:hAnsi="Verdana;Tahoma"/>
          <w:sz w:val="24"/>
        </w:rPr>
      </w:r>
    </w:p>
    <w:p>
      <w:pPr>
        <w:pStyle w:val="Normal"/>
        <w:rPr>
          <w:rFonts w:ascii="Verdana;Tahoma" w:hAnsi="Verdana;Tahoma" w:cs="Verdana;Tahoma"/>
          <w:b/>
          <w:sz w:val="24"/>
        </w:rPr>
      </w:pPr>
      <w:r>
        <w:rPr>
          <w:rFonts w:cs="Verdana;Tahoma" w:ascii="Verdana;Tahoma" w:hAnsi="Verdana;Tahoma"/>
          <w:b/>
          <w:sz w:val="24"/>
        </w:rPr>
        <w:t>c. Kern River Gas Transmission Company (Kern River)</w:t>
      </w:r>
    </w:p>
    <w:p>
      <w:pPr>
        <w:pStyle w:val="Heading3"/>
        <w:ind w:firstLine="360" w:start="0" w:end="0"/>
        <w:rPr/>
      </w:pPr>
      <w:r>
        <w:rPr/>
        <w:t xml:space="preserve">Docket No. MG00-011-000 </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On September 22, 2000, Kern River filed Standards of Conduct related to its business dealings with its marketing affiliates. Kern River stated that it and its employees will comply with the standards of conduct to ensure that all customers receive equal treatment and that marketing affiliates are not granted favorable treatment in service agreements.</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Kern River updated its Standards of Conduct filed in Docket No. MG97-15, to incorporate Standard L which is codified at 18 CFR 161.3(l).</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Kern River also reworded Standards A through K in its Standards of Conduct to mirror the language of FERC's regulations in Section 161.3 and the langauge in Northwest Pipeline Corporation's (Northwest) Standards of Conduct. Kern River stated that it has proposed this change sp that employees at Williams Gas Pipeline who perform business functions for both Kern River and Northwest are subject to Standards of Conduct that are identical.</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In addition, Kern River is also modifying Standard E to read “Kern River will not disclose to its marketinig affiliates any information it receives from a non-affiliate shipper or potential non-affiliated shipper unless disclosure of such information of personnel of a marketing affiliate is acceptable upon voluntary and written consent of the non-affiliated shipper or potential non-affiliated shipper.”</w:t>
      </w:r>
    </w:p>
    <w:sectPr>
      <w:headerReference w:type="default" r:id="rId3"/>
      <w:headerReference w:type="first" r:id="rId4"/>
      <w:footerReference w:type="default" r:id="rId5"/>
      <w:footerReference w:type="first" r:id="rId6"/>
      <w:type w:val="nextPage"/>
      <w:pgSz w:w="12240" w:h="15840"/>
      <w:pgMar w:left="1440" w:right="1440" w:gutter="0" w:header="1008" w:top="1872"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altName w:val="Tahoma"/>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Verdana;Tahoma" w:ascii="Verdana;Tahoma" w:hAnsi="Verdana;Tahoma"/>
        <w:b/>
        <w:i/>
        <w:sz w:val="16"/>
      </w:rPr>
      <w:t>© 2000 BTU Watch, Inc</w:t>
    </w:r>
    <w:r>
      <w:rPr>
        <w:b/>
        <w:i/>
      </w:rPr>
      <w:t>.</w:t>
    </w:r>
    <w:r>
      <mc:AlternateContent>
        <mc:Choice Requires="wps">
          <w:drawing>
            <wp:anchor behindDoc="0" distT="0" distB="0" distL="0" distR="0" simplePos="0" locked="0" layoutInCell="0" allowOverlap="1" relativeHeight="17">
              <wp:simplePos x="0" y="0"/>
              <wp:positionH relativeFrom="page">
                <wp:posOffset>3566795</wp:posOffset>
              </wp:positionH>
              <wp:positionV relativeFrom="paragraph">
                <wp:posOffset>51435</wp:posOffset>
              </wp:positionV>
              <wp:extent cx="129540" cy="123825"/>
              <wp:effectExtent l="0" t="0" r="0" b="0"/>
              <wp:wrapSquare wrapText="bothSides"/>
              <wp:docPr id="2" name="Frame1"/>
              <a:graphic xmlns:a="http://schemas.openxmlformats.org/drawingml/2006/main">
                <a:graphicData uri="http://schemas.microsoft.com/office/word/2010/wordprocessingShape">
                  <wps:wsp>
                    <wps:cNvSpPr txBox="1"/>
                    <wps:spPr>
                      <a:xfrm>
                        <a:off x="0" y="0"/>
                        <a:ext cx="129540" cy="123825"/>
                      </a:xfrm>
                      <a:prstGeom prst="rect"/>
                      <a:solidFill>
                        <a:srgbClr val="FFFFFF">
                          <a:alpha val="0"/>
                        </a:srgbClr>
                      </a:solidFill>
                    </wps:spPr>
                    <wps:txbx>
                      <w:txbxContent>
                        <w:p>
                          <w:pPr>
                            <w:pStyle w:val="Footer"/>
                            <w:rPr>
                              <w:rStyle w:val="PageNumber"/>
                              <w:rFonts w:ascii="Verdana;Tahoma" w:hAnsi="Verdana;Tahoma" w:cs="Verdana;Tahoma"/>
                              <w:sz w:val="16"/>
                            </w:rPr>
                          </w:pPr>
                          <w:r>
                            <w:rPr>
                              <w:rStyle w:val="PageNumber"/>
                              <w:rFonts w:cs="Verdana;Tahoma" w:ascii="Verdana;Tahoma" w:hAnsi="Verdana;Tahoma"/>
                              <w:sz w:val="16"/>
                            </w:rPr>
                            <w:fldChar w:fldCharType="begin"/>
                          </w:r>
                          <w:r>
                            <w:rPr>
                              <w:rStyle w:val="PageNumber"/>
                              <w:sz w:val="16"/>
                              <w:rFonts w:cs="Verdana;Tahoma" w:ascii="Verdana;Tahoma" w:hAnsi="Verdana;Tahoma"/>
                            </w:rPr>
                            <w:instrText xml:space="preserve"> PAGE </w:instrText>
                          </w:r>
                          <w:r>
                            <w:rPr>
                              <w:rStyle w:val="PageNumber"/>
                              <w:sz w:val="16"/>
                              <w:rFonts w:cs="Verdana;Tahoma" w:ascii="Verdana;Tahoma" w:hAnsi="Verdana;Tahoma"/>
                            </w:rPr>
                            <w:fldChar w:fldCharType="separate"/>
                          </w:r>
                          <w:r>
                            <w:rPr>
                              <w:rStyle w:val="PageNumber"/>
                              <w:sz w:val="16"/>
                              <w:rFonts w:cs="Verdana;Tahoma" w:ascii="Verdana;Tahoma" w:hAnsi="Verdana;Tahoma"/>
                            </w:rPr>
                            <w:t>16</w:t>
                          </w:r>
                          <w:r>
                            <w:rPr>
                              <w:rStyle w:val="PageNumber"/>
                              <w:sz w:val="16"/>
                              <w:rFonts w:cs="Verdana;Tahoma" w:ascii="Verdana;Tahoma" w:hAnsi="Verdana;Tahoma"/>
                            </w:rPr>
                            <w:fldChar w:fldCharType="end"/>
                          </w:r>
                        </w:p>
                      </w:txbxContent>
                    </wps:txbx>
                    <wps:bodyPr anchor="t" lIns="0" tIns="0" rIns="0" bIns="0">
                      <a:noAutofit/>
                    </wps:bodyPr>
                  </wps:wsp>
                </a:graphicData>
              </a:graphic>
            </wp:anchor>
          </w:drawing>
        </mc:Choice>
        <mc:Fallback>
          <w:pict>
            <v:rect fillcolor="#FFFFFF" style="position:absolute;rotation:-0;width:10.2pt;height:9.75pt;mso-wrap-distance-left:0pt;mso-wrap-distance-right:0pt;mso-wrap-distance-top:0pt;mso-wrap-distance-bottom:0pt;margin-top:4.05pt;mso-position-vertical-relative:text;margin-left:280.85pt;mso-position-horizontal-relative:page">
              <v:fill opacity="0f"/>
              <v:textbox inset="0in,0in,0in,0in">
                <w:txbxContent>
                  <w:p>
                    <w:pPr>
                      <w:pStyle w:val="Footer"/>
                      <w:rPr>
                        <w:rStyle w:val="PageNumber"/>
                        <w:rFonts w:ascii="Verdana;Tahoma" w:hAnsi="Verdana;Tahoma" w:cs="Verdana;Tahoma"/>
                        <w:sz w:val="16"/>
                      </w:rPr>
                    </w:pPr>
                    <w:r>
                      <w:rPr>
                        <w:rStyle w:val="PageNumber"/>
                        <w:rFonts w:cs="Verdana;Tahoma" w:ascii="Verdana;Tahoma" w:hAnsi="Verdana;Tahoma"/>
                        <w:sz w:val="16"/>
                      </w:rPr>
                      <w:fldChar w:fldCharType="begin"/>
                    </w:r>
                    <w:r>
                      <w:rPr>
                        <w:rStyle w:val="PageNumber"/>
                        <w:sz w:val="16"/>
                        <w:rFonts w:cs="Verdana;Tahoma" w:ascii="Verdana;Tahoma" w:hAnsi="Verdana;Tahoma"/>
                      </w:rPr>
                      <w:instrText xml:space="preserve"> PAGE </w:instrText>
                    </w:r>
                    <w:r>
                      <w:rPr>
                        <w:rStyle w:val="PageNumber"/>
                        <w:sz w:val="16"/>
                        <w:rFonts w:cs="Verdana;Tahoma" w:ascii="Verdana;Tahoma" w:hAnsi="Verdana;Tahoma"/>
                      </w:rPr>
                      <w:fldChar w:fldCharType="separate"/>
                    </w:r>
                    <w:r>
                      <w:rPr>
                        <w:rStyle w:val="PageNumber"/>
                        <w:sz w:val="16"/>
                        <w:rFonts w:cs="Verdana;Tahoma" w:ascii="Verdana;Tahoma" w:hAnsi="Verdana;Tahoma"/>
                      </w:rPr>
                      <w:t>16</w:t>
                    </w:r>
                    <w:r>
                      <w:rPr>
                        <w:rStyle w:val="PageNumber"/>
                        <w:sz w:val="16"/>
                        <w:rFonts w:cs="Verdana;Tahoma" w:ascii="Verdana;Tahoma" w:hAnsi="Verdana;Tahoma"/>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i/>
        <w:i/>
      </w:rPr>
    </w:pPr>
    <w:r>
      <w:rPr>
        <w:b/>
        <w:i/>
      </w:rPr>
      <w:t>© 2000 BTU Watch, Inc.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sz w:val="20"/>
      </w:rPr>
    </w:pPr>
    <w:r>
      <w:rPr>
        <w:sz w:val="20"/>
      </w:rPr>
      <w:t>637 Watch</w:t>
    </w:r>
  </w:p>
  <w:p>
    <w:pPr>
      <w:pStyle w:val="Header"/>
      <w:tabs>
        <w:tab w:val="clear" w:pos="4320"/>
        <w:tab w:val="clear" w:pos="8640"/>
      </w:tabs>
      <w:rPr>
        <w:rFonts w:ascii="Verdana;Tahoma" w:hAnsi="Verdana;Tahoma" w:cs="Verdana;Tahoma"/>
        <w:b/>
      </w:rPr>
    </w:pPr>
    <w:r>
      <w:rPr>
        <w:rFonts w:cs="Verdana;Tahoma" w:ascii="Verdana;Tahoma" w:hAnsi="Verdana;Tahoma"/>
        <w:b/>
      </w:rPr>
      <w:t>Volume 1, Number 16</w:t>
    </w:r>
  </w:p>
  <w:p>
    <w:pPr>
      <w:pStyle w:val="Heading5"/>
      <w:ind w:hanging="0" w:start="0"/>
      <w:rPr/>
    </w:pPr>
    <w:r>
      <w:rPr/>
      <w:t>October 5, 2000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Verdana;Tahoma" w:hAnsi="Verdana;Tahoma" w:cs="Verdana;Tahoma"/>
      <w:b/>
      <w:sz w:val="24"/>
    </w:rPr>
  </w:style>
  <w:style w:type="paragraph" w:styleId="Heading2">
    <w:name w:val="heading 2"/>
    <w:basedOn w:val="Normal"/>
    <w:next w:val="Normal"/>
    <w:qFormat/>
    <w:pPr>
      <w:keepNext w:val="true"/>
      <w:numPr>
        <w:ilvl w:val="1"/>
        <w:numId w:val="1"/>
      </w:numPr>
      <w:jc w:val="both"/>
      <w:outlineLvl w:val="1"/>
    </w:pPr>
    <w:rPr>
      <w:rFonts w:ascii="Verdana;Tahoma" w:hAnsi="Verdana;Tahoma" w:cs="Verdana;Tahoma"/>
      <w:sz w:val="24"/>
    </w:rPr>
  </w:style>
  <w:style w:type="paragraph" w:styleId="Heading3">
    <w:name w:val="heading 3"/>
    <w:basedOn w:val="Normal"/>
    <w:next w:val="Normal"/>
    <w:qFormat/>
    <w:pPr>
      <w:keepNext w:val="true"/>
      <w:numPr>
        <w:ilvl w:val="2"/>
        <w:numId w:val="1"/>
      </w:numPr>
      <w:outlineLvl w:val="2"/>
    </w:pPr>
    <w:rPr>
      <w:rFonts w:ascii="Verdana;Tahoma" w:hAnsi="Verdana;Tahoma" w:cs="Verdana;Tahoma"/>
      <w:sz w:val="24"/>
    </w:rPr>
  </w:style>
  <w:style w:type="paragraph" w:styleId="Heading4">
    <w:name w:val="heading 4"/>
    <w:basedOn w:val="Normal"/>
    <w:next w:val="Normal"/>
    <w:qFormat/>
    <w:pPr>
      <w:keepNext w:val="true"/>
      <w:numPr>
        <w:ilvl w:val="3"/>
        <w:numId w:val="1"/>
      </w:numPr>
      <w:jc w:val="center"/>
      <w:outlineLvl w:val="3"/>
    </w:pPr>
    <w:rPr>
      <w:rFonts w:ascii="Verdana;Tahoma" w:hAnsi="Verdana;Tahoma" w:cs="Verdana;Tahoma"/>
      <w:b/>
      <w:sz w:val="22"/>
    </w:rPr>
  </w:style>
  <w:style w:type="paragraph" w:styleId="Heading5">
    <w:name w:val="heading 5"/>
    <w:basedOn w:val="Normal"/>
    <w:next w:val="Normal"/>
    <w:qFormat/>
    <w:pPr>
      <w:keepNext w:val="true"/>
      <w:numPr>
        <w:ilvl w:val="4"/>
        <w:numId w:val="1"/>
      </w:numPr>
      <w:outlineLvl w:val="4"/>
    </w:pPr>
    <w:rPr>
      <w:rFonts w:ascii="Verdana;Tahoma" w:hAnsi="Verdana;Tahoma" w:cs="Verdana;Tahoma"/>
      <w:b/>
    </w:rPr>
  </w:style>
  <w:style w:type="paragraph" w:styleId="Heading6">
    <w:name w:val="heading 6"/>
    <w:basedOn w:val="Normal"/>
    <w:next w:val="Normal"/>
    <w:qFormat/>
    <w:pPr>
      <w:keepNext w:val="true"/>
      <w:numPr>
        <w:ilvl w:val="5"/>
        <w:numId w:val="1"/>
      </w:numPr>
      <w:ind w:firstLine="360" w:start="0" w:end="0"/>
      <w:jc w:val="both"/>
      <w:outlineLvl w:val="5"/>
    </w:pPr>
    <w:rPr>
      <w:rFonts w:ascii="Verdana;Tahoma" w:hAnsi="Verdana;Tahoma" w:cs="Verdana;Tahoma"/>
      <w:sz w:val="24"/>
    </w:rPr>
  </w:style>
  <w:style w:type="paragraph" w:styleId="Heading7">
    <w:name w:val="heading 7"/>
    <w:basedOn w:val="Normal"/>
    <w:next w:val="Normal"/>
    <w:qFormat/>
    <w:pPr>
      <w:keepNext w:val="true"/>
      <w:numPr>
        <w:ilvl w:val="6"/>
        <w:numId w:val="1"/>
      </w:numPr>
      <w:ind w:firstLine="270" w:start="0" w:end="0"/>
      <w:jc w:val="both"/>
      <w:outlineLvl w:val="6"/>
    </w:pPr>
    <w:rPr>
      <w:rFonts w:ascii="Verdana;Tahoma" w:hAnsi="Verdana;Tahoma" w:cs="Verdana;Tahoma"/>
      <w:sz w:val="24"/>
    </w:rPr>
  </w:style>
  <w:style w:type="paragraph" w:styleId="Heading8">
    <w:name w:val="heading 8"/>
    <w:basedOn w:val="Normal"/>
    <w:next w:val="Normal"/>
    <w:qFormat/>
    <w:pPr>
      <w:keepNext w:val="true"/>
      <w:numPr>
        <w:ilvl w:val="7"/>
        <w:numId w:val="1"/>
      </w:numPr>
      <w:ind w:firstLine="360" w:start="0" w:end="0"/>
      <w:outlineLvl w:val="7"/>
    </w:pPr>
    <w:rPr>
      <w:rFonts w:ascii="Verdana;Tahoma" w:hAnsi="Verdana;Tahoma" w:cs="Verdana;Tahoma"/>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Verdana;Tahoma" w:hAnsi="Verdana;Tahoma" w:cs="Verdana;Tahoma"/>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70" w:start="2880" w:end="0"/>
      <w:jc w:val="both"/>
    </w:pPr>
    <w:rPr>
      <w:rFonts w:ascii="Verdana;Tahoma" w:hAnsi="Verdana;Tahoma" w:cs="Verdana;Tahoma"/>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2000-10-06T10:39:00Z</dcterms:created>
  <dc:creator>Diane T.Tom</dc:creator>
  <dc:description/>
  <dc:language>en-CA</dc:language>
  <cp:lastModifiedBy>ET&amp;S</cp:lastModifiedBy>
  <cp:lastPrinted>2000-10-05T10:34:00Z</cp:lastPrinted>
  <dcterms:modified xsi:type="dcterms:W3CDTF">2000-10-06T10:39:00Z</dcterms:modified>
  <cp:revision>2</cp:revision>
  <dc:subject/>
  <dc:title>National Fuel Gas Supply Corporation </dc:title>
</cp:coreProperties>
</file>