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3600" w:end="0"/>
        <w:jc w:val="both"/>
        <w:rPr>
          <w:rFonts w:ascii="Verdana" w:hAnsi="Verdana" w:cs="Verdana"/>
          <w:b/>
        </w:rPr>
      </w:pPr>
      <w:r>
        <w:rPr>
          <w:b/>
          <w:i/>
        </w:rPr>
        <w:drawing>
          <wp:inline distT="0" distB="0" distL="0" distR="0">
            <wp:extent cx="2559050" cy="848995"/>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10" t="-31" r="-10" b="-31"/>
                    <a:stretch>
                      <a:fillRect/>
                    </a:stretch>
                  </pic:blipFill>
                  <pic:spPr bwMode="auto">
                    <a:xfrm>
                      <a:off x="0" y="0"/>
                      <a:ext cx="2559050" cy="848995"/>
                    </a:xfrm>
                    <a:prstGeom prst="rect">
                      <a:avLst/>
                    </a:prstGeom>
                    <a:noFill/>
                  </pic:spPr>
                </pic:pic>
              </a:graphicData>
            </a:graphic>
          </wp:inline>
        </w:drawing>
      </w:r>
    </w:p>
    <w:p>
      <w:pPr>
        <w:pStyle w:val="Heading1"/>
        <w:ind w:hanging="0" w:start="0"/>
        <w:rPr>
          <w:b/>
          <w:sz w:val="22"/>
        </w:rPr>
      </w:pPr>
      <w:r>
        <w:rPr>
          <w:b/>
          <w:sz w:val="22"/>
        </w:rPr>
        <w:t>637 Watch</w:t>
      </w:r>
    </w:p>
    <w:p>
      <w:pPr>
        <w:pStyle w:val="Heading4"/>
        <w:ind w:hanging="0" w:start="0"/>
        <w:rPr/>
      </w:pPr>
      <w:r>
        <w:rPr/>
        <w:t>Volume 1, Number 17</w:t>
      </w:r>
    </w:p>
    <w:p>
      <w:pPr>
        <w:pStyle w:val="Heading3"/>
        <w:ind w:hanging="0" w:start="0"/>
        <w:rPr>
          <w:b/>
          <w:sz w:val="20"/>
        </w:rPr>
      </w:pPr>
      <w:r>
        <w:rPr>
          <w:b/>
          <w:sz w:val="20"/>
        </w:rPr>
        <w:t>October 12, 2000</w:t>
      </w:r>
    </w:p>
    <w:p>
      <w:pPr>
        <w:pStyle w:val="Normal"/>
        <w:jc w:val="both"/>
        <w:rPr>
          <w:rFonts w:ascii="Verdana" w:hAnsi="Verdana" w:cs="Verdana"/>
          <w:b/>
          <w:sz w:val="20"/>
        </w:rPr>
      </w:pPr>
      <w:r>
        <w:rPr>
          <w:rFonts w:cs="Verdana" w:ascii="Verdana" w:hAnsi="Verdana"/>
          <w:b/>
          <w:sz w:val="20"/>
        </w:rPr>
      </w:r>
    </w:p>
    <w:p>
      <w:pPr>
        <w:pStyle w:val="Normal"/>
        <w:jc w:val="both"/>
        <w:rPr>
          <w:rFonts w:ascii="Verdana" w:hAnsi="Verdana" w:cs="Verdana"/>
          <w:b/>
        </w:rPr>
      </w:pPr>
      <w:r>
        <w:rPr>
          <w:rFonts w:cs="Verdana" w:ascii="Verdana" w:hAnsi="Verdana"/>
          <w:b/>
        </w:rPr>
      </w:r>
    </w:p>
    <w:p>
      <w:pPr>
        <w:pStyle w:val="Normal"/>
        <w:jc w:val="center"/>
        <w:rPr>
          <w:rFonts w:ascii="Verdana" w:hAnsi="Verdana" w:cs="Verdana"/>
          <w:b/>
          <w:sz w:val="22"/>
        </w:rPr>
      </w:pPr>
      <w:r>
        <w:rPr>
          <w:rFonts w:cs="Verdana" w:ascii="Verdana" w:hAnsi="Verdana"/>
          <w:b/>
          <w:sz w:val="22"/>
        </w:rPr>
      </w:r>
    </w:p>
    <w:p>
      <w:pPr>
        <w:pStyle w:val="Normal"/>
        <w:jc w:val="center"/>
        <w:rPr>
          <w:rFonts w:ascii="Verdana" w:hAnsi="Verdana" w:cs="Verdana"/>
          <w:b/>
          <w:sz w:val="22"/>
        </w:rPr>
      </w:pPr>
      <w:r>
        <w:rPr>
          <w:rFonts w:cs="Verdana" w:ascii="Verdana" w:hAnsi="Verdana"/>
          <w:b/>
          <w:sz w:val="22"/>
        </w:rPr>
      </w:r>
    </w:p>
    <w:p>
      <w:pPr>
        <w:pStyle w:val="Heading5"/>
        <w:ind w:hanging="0" w:start="0"/>
        <w:rPr/>
      </w:pPr>
      <w:r>
        <w:rPr/>
        <w:t>Table of Contents</w:t>
      </w:r>
    </w:p>
    <w:p>
      <w:pPr>
        <w:pStyle w:val="Normal"/>
        <w:ind w:start="2880" w:end="0"/>
        <w:jc w:val="both"/>
        <w:rPr>
          <w:rFonts w:ascii="Verdana" w:hAnsi="Verdana" w:cs="Verdana"/>
          <w:b/>
        </w:rPr>
      </w:pPr>
      <w:r>
        <w:rPr>
          <w:rFonts w:cs="Verdana" w:ascii="Verdana" w:hAnsi="Verdana"/>
          <w:b/>
        </w:rPr>
      </w:r>
    </w:p>
    <w:p>
      <w:pPr>
        <w:pStyle w:val="Normal"/>
        <w:ind w:start="2880" w:end="0"/>
        <w:jc w:val="both"/>
        <w:rPr>
          <w:rFonts w:ascii="Verdana" w:hAnsi="Verdana" w:cs="Verdana"/>
          <w:b/>
        </w:rPr>
      </w:pPr>
      <w:r>
        <w:rPr>
          <w:rFonts w:cs="Verdana" w:ascii="Verdana" w:hAnsi="Verdana"/>
          <w:b/>
        </w:rPr>
      </w:r>
    </w:p>
    <w:p>
      <w:pPr>
        <w:pStyle w:val="Normal"/>
        <w:ind w:hanging="360" w:start="2880" w:end="0"/>
        <w:jc w:val="both"/>
        <w:rPr>
          <w:rFonts w:ascii="Verdana" w:hAnsi="Verdana" w:cs="Verdana"/>
          <w:b/>
        </w:rPr>
      </w:pPr>
      <w:r>
        <w:rPr>
          <w:rFonts w:cs="Verdana" w:ascii="Verdana" w:hAnsi="Verdana"/>
          <w:b/>
        </w:rPr>
        <w:t>1. Technical Conferences</w:t>
      </w:r>
    </w:p>
    <w:p>
      <w:pPr>
        <w:pStyle w:val="Normal"/>
        <w:ind w:start="2880" w:end="0"/>
        <w:jc w:val="both"/>
        <w:rPr>
          <w:rFonts w:ascii="Verdana" w:hAnsi="Verdana" w:cs="Verdana"/>
          <w:b/>
        </w:rPr>
      </w:pPr>
      <w:r>
        <w:rPr>
          <w:rFonts w:cs="Verdana" w:ascii="Verdana" w:hAnsi="Verdana"/>
          <w:b/>
        </w:rPr>
        <w:t>a. Tennessee Gas Pipeline Company (Tennessee)</w:t>
      </w:r>
    </w:p>
    <w:p>
      <w:pPr>
        <w:pStyle w:val="Normal"/>
        <w:ind w:firstLine="270" w:start="2880" w:end="0"/>
        <w:jc w:val="both"/>
        <w:rPr>
          <w:rFonts w:ascii="Verdana" w:hAnsi="Verdana" w:cs="Verdana"/>
        </w:rPr>
      </w:pPr>
      <w:r>
        <w:rPr>
          <w:rFonts w:cs="Verdana" w:ascii="Verdana" w:hAnsi="Verdana"/>
        </w:rPr>
        <w:t>Docket No. RP00-477-000</w:t>
      </w:r>
    </w:p>
    <w:p>
      <w:pPr>
        <w:pStyle w:val="Normal"/>
        <w:ind w:start="2880" w:end="0"/>
        <w:jc w:val="both"/>
        <w:rPr>
          <w:rFonts w:ascii="Verdana" w:hAnsi="Verdana" w:cs="Verdana"/>
          <w:b/>
        </w:rPr>
      </w:pPr>
      <w:r>
        <w:rPr>
          <w:rFonts w:cs="Verdana" w:ascii="Verdana" w:hAnsi="Verdana"/>
          <w:b/>
        </w:rPr>
        <w:t>b. Kinder Morgan Interstate Gas Transmission (Kinder</w:t>
      </w:r>
    </w:p>
    <w:p>
      <w:pPr>
        <w:pStyle w:val="Normal"/>
        <w:ind w:firstLine="270" w:start="2880" w:end="0"/>
        <w:jc w:val="both"/>
        <w:rPr>
          <w:rFonts w:ascii="Verdana" w:hAnsi="Verdana" w:cs="Verdana"/>
          <w:b/>
        </w:rPr>
      </w:pPr>
      <w:r>
        <w:rPr>
          <w:rFonts w:cs="Verdana" w:ascii="Verdana" w:hAnsi="Verdana"/>
          <w:b/>
        </w:rPr>
        <w:t>Morgan)</w:t>
      </w:r>
    </w:p>
    <w:p>
      <w:pPr>
        <w:pStyle w:val="Normal"/>
        <w:ind w:firstLine="270" w:start="2880" w:end="0"/>
        <w:jc w:val="both"/>
        <w:rPr>
          <w:rFonts w:ascii="Verdana" w:hAnsi="Verdana" w:cs="Verdana"/>
        </w:rPr>
      </w:pPr>
      <w:r>
        <w:rPr>
          <w:rFonts w:cs="Verdana" w:ascii="Verdana" w:hAnsi="Verdana"/>
        </w:rPr>
        <w:t>Docket No. RP00-343-000</w:t>
      </w:r>
    </w:p>
    <w:p>
      <w:pPr>
        <w:pStyle w:val="Normal"/>
        <w:ind w:start="2880" w:end="0"/>
        <w:jc w:val="both"/>
        <w:rPr>
          <w:rFonts w:ascii="Verdana" w:hAnsi="Verdana" w:cs="Verdana"/>
          <w:b/>
        </w:rPr>
      </w:pPr>
      <w:r>
        <w:rPr>
          <w:rFonts w:cs="Verdana" w:ascii="Verdana" w:hAnsi="Verdana"/>
          <w:b/>
        </w:rPr>
        <w:t>c. Columbia Gas Transmission Corporation (Columbia)</w:t>
      </w:r>
    </w:p>
    <w:p>
      <w:pPr>
        <w:pStyle w:val="Normal"/>
        <w:ind w:firstLine="270" w:start="2880" w:end="0"/>
        <w:jc w:val="both"/>
        <w:rPr>
          <w:rFonts w:ascii="Verdana" w:hAnsi="Verdana" w:cs="Verdana"/>
        </w:rPr>
      </w:pPr>
      <w:r>
        <w:rPr>
          <w:rFonts w:cs="Verdana" w:ascii="Verdana" w:hAnsi="Verdana"/>
        </w:rPr>
        <w:t>Docket No. RP00-374-000</w:t>
      </w:r>
    </w:p>
    <w:p>
      <w:pPr>
        <w:pStyle w:val="Normal"/>
        <w:ind w:start="2880" w:end="0"/>
        <w:jc w:val="both"/>
        <w:rPr>
          <w:rFonts w:ascii="Verdana" w:hAnsi="Verdana" w:cs="Verdana"/>
          <w:b/>
        </w:rPr>
      </w:pPr>
      <w:r>
        <w:rPr>
          <w:rFonts w:cs="Verdana" w:ascii="Verdana" w:hAnsi="Verdana"/>
          <w:b/>
        </w:rPr>
        <w:t>d. Koch Gateway Pipeline Company (Koch Gateway)</w:t>
      </w:r>
    </w:p>
    <w:p>
      <w:pPr>
        <w:pStyle w:val="Normal"/>
        <w:ind w:firstLine="270" w:start="2880" w:end="0"/>
        <w:jc w:val="both"/>
        <w:rPr>
          <w:rFonts w:ascii="Verdana" w:hAnsi="Verdana" w:cs="Verdana"/>
        </w:rPr>
      </w:pPr>
      <w:r>
        <w:rPr>
          <w:rFonts w:cs="Verdana" w:ascii="Verdana" w:hAnsi="Verdana"/>
        </w:rPr>
        <w:t>Docket No. RP00-340-000</w:t>
      </w:r>
    </w:p>
    <w:p>
      <w:pPr>
        <w:pStyle w:val="Heading2"/>
        <w:ind w:hanging="0" w:start="2880" w:end="0"/>
        <w:rPr>
          <w:rFonts w:ascii="Verdana" w:hAnsi="Verdana" w:cs="Verdana"/>
          <w:sz w:val="20"/>
        </w:rPr>
      </w:pPr>
      <w:r>
        <w:rPr>
          <w:rFonts w:cs="Verdana"/>
          <w:sz w:val="20"/>
        </w:rPr>
      </w:r>
    </w:p>
    <w:p>
      <w:pPr>
        <w:pStyle w:val="Heading2"/>
        <w:ind w:hanging="360" w:start="2880" w:end="0"/>
        <w:rPr>
          <w:sz w:val="20"/>
        </w:rPr>
      </w:pPr>
      <w:r>
        <w:rPr>
          <w:sz w:val="20"/>
        </w:rPr>
        <w:t>2. Removal of Price Cap and ROFR</w:t>
      </w:r>
    </w:p>
    <w:p>
      <w:pPr>
        <w:pStyle w:val="Normal"/>
        <w:ind w:start="2880" w:end="0"/>
        <w:jc w:val="both"/>
        <w:rPr>
          <w:rFonts w:ascii="Verdana" w:hAnsi="Verdana" w:cs="Verdana"/>
          <w:b/>
        </w:rPr>
      </w:pPr>
      <w:r>
        <w:rPr>
          <w:rFonts w:cs="Verdana" w:ascii="Verdana" w:hAnsi="Verdana"/>
          <w:b/>
        </w:rPr>
        <w:t>a. Algonquin Gas Transmission Company (Algonquin)</w:t>
      </w:r>
    </w:p>
    <w:p>
      <w:pPr>
        <w:pStyle w:val="Heading1"/>
        <w:ind w:firstLine="270" w:start="2880" w:end="0"/>
        <w:rPr>
          <w:sz w:val="20"/>
        </w:rPr>
      </w:pPr>
      <w:r>
        <w:rPr>
          <w:sz w:val="20"/>
        </w:rPr>
        <w:t xml:space="preserve">Docket No. RP00-533-000 </w:t>
      </w:r>
    </w:p>
    <w:p>
      <w:pPr>
        <w:pStyle w:val="Normal"/>
        <w:ind w:start="2880" w:end="0"/>
        <w:jc w:val="both"/>
        <w:rPr>
          <w:rFonts w:ascii="Verdana" w:hAnsi="Verdana" w:cs="Verdana"/>
          <w:b/>
        </w:rPr>
      </w:pPr>
      <w:r>
        <w:rPr>
          <w:rFonts w:cs="Verdana" w:ascii="Verdana" w:hAnsi="Verdana"/>
          <w:b/>
        </w:rPr>
        <w:t>b. East Tennessee Natural Gas Company (East</w:t>
      </w:r>
    </w:p>
    <w:p>
      <w:pPr>
        <w:pStyle w:val="Normal"/>
        <w:ind w:firstLine="270" w:start="2880" w:end="0"/>
        <w:jc w:val="both"/>
        <w:rPr>
          <w:rFonts w:ascii="Verdana" w:hAnsi="Verdana" w:cs="Verdana"/>
          <w:b/>
        </w:rPr>
      </w:pPr>
      <w:r>
        <w:rPr>
          <w:rFonts w:cs="Verdana" w:ascii="Verdana" w:hAnsi="Verdana"/>
          <w:b/>
        </w:rPr>
        <w:t>Tennessee)</w:t>
      </w:r>
    </w:p>
    <w:p>
      <w:pPr>
        <w:pStyle w:val="Normal"/>
        <w:ind w:firstLine="270" w:start="2880" w:end="0"/>
        <w:jc w:val="both"/>
        <w:rPr>
          <w:rFonts w:ascii="Verdana" w:hAnsi="Verdana" w:cs="Verdana"/>
        </w:rPr>
      </w:pPr>
      <w:r>
        <w:rPr>
          <w:rFonts w:cs="Verdana" w:ascii="Verdana" w:hAnsi="Verdana"/>
        </w:rPr>
        <w:t xml:space="preserve">Docket No. RP00-534-000 </w:t>
      </w:r>
    </w:p>
    <w:p>
      <w:pPr>
        <w:pStyle w:val="Normal"/>
        <w:ind w:start="2880" w:end="0"/>
        <w:jc w:val="both"/>
        <w:rPr>
          <w:rFonts w:ascii="Verdana" w:hAnsi="Verdana" w:cs="Verdana"/>
          <w:b/>
        </w:rPr>
      </w:pPr>
      <w:r>
        <w:rPr>
          <w:rFonts w:cs="Verdana" w:ascii="Verdana" w:hAnsi="Verdana"/>
          <w:b/>
        </w:rPr>
        <w:t>c. Texas Eastern Transmission Corporation  (Texas</w:t>
      </w:r>
    </w:p>
    <w:p>
      <w:pPr>
        <w:pStyle w:val="Normal"/>
        <w:ind w:firstLine="270" w:start="2880" w:end="0"/>
        <w:jc w:val="both"/>
        <w:rPr>
          <w:rFonts w:ascii="Verdana" w:hAnsi="Verdana" w:cs="Verdana"/>
          <w:b/>
        </w:rPr>
      </w:pPr>
      <w:r>
        <w:rPr>
          <w:rFonts w:cs="Verdana" w:ascii="Verdana" w:hAnsi="Verdana"/>
          <w:b/>
        </w:rPr>
        <w:t xml:space="preserve">Eastern) </w:t>
      </w:r>
    </w:p>
    <w:p>
      <w:pPr>
        <w:pStyle w:val="Normal"/>
        <w:ind w:firstLine="270" w:start="2880" w:end="0"/>
        <w:jc w:val="both"/>
        <w:rPr>
          <w:rFonts w:ascii="Verdana" w:hAnsi="Verdana" w:cs="Verdana"/>
        </w:rPr>
      </w:pPr>
      <w:r>
        <w:rPr>
          <w:rFonts w:cs="Verdana" w:ascii="Verdana" w:hAnsi="Verdana"/>
        </w:rPr>
        <w:t xml:space="preserve">Docket No. RP00-535-000 </w:t>
      </w:r>
    </w:p>
    <w:p>
      <w:pPr>
        <w:pStyle w:val="Normal"/>
        <w:ind w:start="2880" w:end="0"/>
        <w:jc w:val="both"/>
        <w:rPr>
          <w:rFonts w:ascii="Verdana" w:hAnsi="Verdana" w:cs="Verdana"/>
          <w:b/>
        </w:rPr>
      </w:pPr>
      <w:r>
        <w:rPr>
          <w:rFonts w:cs="Verdana" w:ascii="Verdana" w:hAnsi="Verdana"/>
          <w:b/>
        </w:rPr>
        <w:t>d. High Island Offshore System, LLC (HIOS)</w:t>
      </w:r>
    </w:p>
    <w:p>
      <w:pPr>
        <w:pStyle w:val="Normal"/>
        <w:ind w:firstLine="270" w:start="2880" w:end="0"/>
        <w:jc w:val="both"/>
        <w:rPr>
          <w:rFonts w:ascii="Verdana" w:hAnsi="Verdana" w:cs="Verdana"/>
        </w:rPr>
      </w:pPr>
      <w:r>
        <w:rPr>
          <w:rFonts w:cs="Verdana" w:ascii="Verdana" w:hAnsi="Verdana"/>
        </w:rPr>
        <w:t xml:space="preserve">Docket No. RP00-547-000 </w:t>
      </w:r>
    </w:p>
    <w:p>
      <w:pPr>
        <w:pStyle w:val="Normal"/>
        <w:ind w:start="2880" w:end="0"/>
        <w:jc w:val="both"/>
        <w:rPr>
          <w:rFonts w:ascii="Verdana" w:hAnsi="Verdana" w:cs="Verdana"/>
          <w:b/>
        </w:rPr>
      </w:pPr>
      <w:r>
        <w:rPr>
          <w:rFonts w:cs="Verdana" w:ascii="Verdana" w:hAnsi="Verdana"/>
          <w:b/>
        </w:rPr>
        <w:t>e. Gulf States Transmission Corporation (Gulf States)</w:t>
      </w:r>
    </w:p>
    <w:p>
      <w:pPr>
        <w:pStyle w:val="Normal"/>
        <w:ind w:firstLine="270" w:start="2880" w:end="0"/>
        <w:jc w:val="both"/>
        <w:rPr>
          <w:rFonts w:ascii="Verdana" w:hAnsi="Verdana" w:cs="Verdana"/>
        </w:rPr>
      </w:pPr>
      <w:r>
        <w:rPr>
          <w:rFonts w:cs="Verdana" w:ascii="Verdana" w:hAnsi="Verdana"/>
        </w:rPr>
        <w:t xml:space="preserve">Docket No. RP00-548-000 </w:t>
      </w:r>
    </w:p>
    <w:p>
      <w:pPr>
        <w:pStyle w:val="Normal"/>
        <w:ind w:start="2880" w:end="0"/>
        <w:jc w:val="both"/>
        <w:rPr>
          <w:rFonts w:ascii="Verdana" w:hAnsi="Verdana" w:cs="Verdana"/>
          <w:b/>
        </w:rPr>
      </w:pPr>
      <w:r>
        <w:rPr>
          <w:rFonts w:cs="Verdana" w:ascii="Verdana" w:hAnsi="Verdana"/>
          <w:b/>
        </w:rPr>
        <w:t>f. U-T Offshore System, LLC (UTOS)</w:t>
      </w:r>
    </w:p>
    <w:p>
      <w:pPr>
        <w:pStyle w:val="Normal"/>
        <w:ind w:firstLine="270" w:start="2880" w:end="0"/>
        <w:jc w:val="both"/>
        <w:rPr>
          <w:rFonts w:ascii="Verdana" w:hAnsi="Verdana" w:cs="Verdana"/>
        </w:rPr>
      </w:pPr>
      <w:r>
        <w:rPr>
          <w:rFonts w:cs="Verdana" w:ascii="Verdana" w:hAnsi="Verdana"/>
        </w:rPr>
        <w:t xml:space="preserve">Docket No. RP00-549-000 </w:t>
      </w:r>
    </w:p>
    <w:p>
      <w:pPr>
        <w:pStyle w:val="Normal"/>
        <w:ind w:start="2880" w:end="0"/>
        <w:jc w:val="both"/>
        <w:rPr>
          <w:rFonts w:ascii="Verdana" w:hAnsi="Verdana" w:cs="Verdana"/>
          <w:b/>
        </w:rPr>
      </w:pPr>
      <w:r>
        <w:rPr>
          <w:rFonts w:cs="Verdana" w:ascii="Verdana" w:hAnsi="Verdana"/>
          <w:b/>
        </w:rPr>
        <w:t>g. Stingray Pipeline Company (Stingray)</w:t>
      </w:r>
    </w:p>
    <w:p>
      <w:pPr>
        <w:pStyle w:val="Normal"/>
        <w:ind w:firstLine="270" w:start="2880" w:end="0"/>
        <w:jc w:val="both"/>
        <w:rPr>
          <w:rFonts w:ascii="Verdana" w:hAnsi="Verdana" w:cs="Verdana"/>
        </w:rPr>
      </w:pPr>
      <w:r>
        <w:rPr>
          <w:rFonts w:cs="Verdana" w:ascii="Verdana" w:hAnsi="Verdana"/>
        </w:rPr>
        <w:t xml:space="preserve">Docket No. RP00-550-000 </w:t>
      </w:r>
    </w:p>
    <w:p>
      <w:pPr>
        <w:pStyle w:val="Normal"/>
        <w:ind w:start="2880" w:end="0"/>
        <w:jc w:val="both"/>
        <w:rPr>
          <w:rFonts w:ascii="Verdana" w:hAnsi="Verdana" w:cs="Verdana"/>
          <w:b/>
        </w:rPr>
      </w:pPr>
      <w:r>
        <w:rPr>
          <w:rFonts w:cs="Verdana" w:ascii="Verdana" w:hAnsi="Verdana"/>
          <w:b/>
        </w:rPr>
        <w:t>h. Dominion Transmission, Inc. (Dominion)</w:t>
      </w:r>
    </w:p>
    <w:p>
      <w:pPr>
        <w:pStyle w:val="Normal"/>
        <w:ind w:firstLine="270" w:start="2880" w:end="0"/>
        <w:jc w:val="both"/>
        <w:rPr>
          <w:rFonts w:ascii="Verdana" w:hAnsi="Verdana" w:cs="Verdana"/>
        </w:rPr>
      </w:pPr>
      <w:r>
        <w:rPr>
          <w:rFonts w:cs="Verdana" w:ascii="Verdana" w:hAnsi="Verdana"/>
        </w:rPr>
        <w:t>Docket No. RP00-440-001</w:t>
      </w:r>
    </w:p>
    <w:p>
      <w:pPr>
        <w:pStyle w:val="Normal"/>
        <w:ind w:start="2880" w:end="0"/>
        <w:jc w:val="both"/>
        <w:rPr>
          <w:rFonts w:ascii="Verdana" w:hAnsi="Verdana" w:cs="Verdana"/>
          <w:b/>
        </w:rPr>
      </w:pPr>
      <w:r>
        <w:rPr>
          <w:rFonts w:cs="Verdana" w:ascii="Verdana" w:hAnsi="Verdana"/>
          <w:b/>
        </w:rPr>
        <w:t>i. Portland Natural Gas Transmission System (PNGTS)</w:t>
      </w:r>
    </w:p>
    <w:p>
      <w:pPr>
        <w:pStyle w:val="Normal"/>
        <w:ind w:firstLine="270" w:start="2880" w:end="0"/>
        <w:jc w:val="both"/>
        <w:rPr>
          <w:rFonts w:ascii="Verdana" w:hAnsi="Verdana" w:cs="Verdana"/>
        </w:rPr>
      </w:pPr>
      <w:r>
        <w:rPr>
          <w:rFonts w:cs="Verdana" w:ascii="Verdana" w:hAnsi="Verdana"/>
        </w:rPr>
        <w:t xml:space="preserve">Docket No. RP00-569-000 </w:t>
      </w:r>
    </w:p>
    <w:p>
      <w:pPr>
        <w:pStyle w:val="Normal"/>
        <w:ind w:start="2880" w:end="0"/>
        <w:jc w:val="both"/>
        <w:rPr>
          <w:rFonts w:ascii="Verdana" w:hAnsi="Verdana" w:cs="Verdana"/>
          <w:b/>
        </w:rPr>
      </w:pPr>
      <w:r>
        <w:rPr>
          <w:rFonts w:cs="Verdana" w:ascii="Verdana" w:hAnsi="Verdana"/>
          <w:b/>
        </w:rPr>
        <w:t>j. Wyoming Interstate Company, Ltd. (WIC)</w:t>
      </w:r>
    </w:p>
    <w:p>
      <w:pPr>
        <w:pStyle w:val="Normal"/>
        <w:ind w:firstLine="270" w:start="2880" w:end="0"/>
        <w:jc w:val="both"/>
        <w:rPr>
          <w:rFonts w:ascii="Verdana" w:hAnsi="Verdana" w:cs="Verdana"/>
        </w:rPr>
      </w:pPr>
      <w:r>
        <w:rPr>
          <w:rFonts w:cs="Verdana" w:ascii="Verdana" w:hAnsi="Verdana"/>
        </w:rPr>
        <w:t xml:space="preserve">Docket No. RP00-592-000 </w:t>
      </w:r>
    </w:p>
    <w:p>
      <w:pPr>
        <w:pStyle w:val="Normal"/>
        <w:ind w:start="2880" w:end="0"/>
        <w:jc w:val="both"/>
        <w:rPr>
          <w:rFonts w:ascii="Verdana" w:hAnsi="Verdana" w:cs="Verdana"/>
          <w:b/>
        </w:rPr>
      </w:pPr>
      <w:r>
        <w:rPr>
          <w:rFonts w:cs="Verdana" w:ascii="Verdana" w:hAnsi="Verdana"/>
          <w:b/>
        </w:rPr>
      </w:r>
    </w:p>
    <w:p>
      <w:pPr>
        <w:pStyle w:val="Normal"/>
        <w:ind w:start="2880" w:end="0"/>
        <w:jc w:val="both"/>
        <w:rPr>
          <w:rFonts w:ascii="Verdana" w:hAnsi="Verdana" w:cs="Verdana"/>
          <w:b/>
        </w:rPr>
      </w:pPr>
      <w:r>
        <w:rPr>
          <w:rFonts w:cs="Verdana" w:ascii="Verdana" w:hAnsi="Verdana"/>
          <w:b/>
        </w:rPr>
      </w:r>
    </w:p>
    <w:p>
      <w:pPr>
        <w:pStyle w:val="Normal"/>
        <w:ind w:start="2880" w:end="0"/>
        <w:jc w:val="both"/>
        <w:rPr>
          <w:rFonts w:ascii="Verdana" w:hAnsi="Verdana" w:cs="Verdana"/>
          <w:b/>
        </w:rPr>
      </w:pPr>
      <w:r>
        <w:rPr>
          <w:rFonts w:cs="Verdana" w:ascii="Verdana" w:hAnsi="Verdana"/>
          <w:b/>
        </w:rPr>
      </w:r>
    </w:p>
    <w:p>
      <w:pPr>
        <w:pStyle w:val="Normal"/>
        <w:ind w:start="2880" w:end="0"/>
        <w:jc w:val="both"/>
        <w:rPr>
          <w:rFonts w:ascii="Verdana" w:hAnsi="Verdana" w:cs="Verdana"/>
          <w:b/>
        </w:rPr>
      </w:pPr>
      <w:r>
        <w:rPr>
          <w:rFonts w:cs="Verdana" w:ascii="Verdana" w:hAnsi="Verdana"/>
          <w:b/>
        </w:rPr>
      </w:r>
    </w:p>
    <w:p>
      <w:pPr>
        <w:pStyle w:val="Normal"/>
        <w:jc w:val="center"/>
        <w:rPr>
          <w:rFonts w:ascii="Verdana" w:hAnsi="Verdana" w:cs="Verdana"/>
          <w:b/>
          <w:sz w:val="22"/>
        </w:rPr>
      </w:pPr>
      <w:r>
        <w:rPr>
          <w:rFonts w:cs="Verdana" w:ascii="Verdana" w:hAnsi="Verdana"/>
          <w:b/>
          <w:sz w:val="22"/>
        </w:rPr>
        <w:t>Table of Contents (cont.)</w:t>
      </w:r>
    </w:p>
    <w:p>
      <w:pPr>
        <w:pStyle w:val="Normal"/>
        <w:jc w:val="center"/>
        <w:rPr>
          <w:rFonts w:ascii="Verdana" w:hAnsi="Verdana" w:cs="Verdana"/>
          <w:b/>
          <w:sz w:val="22"/>
        </w:rPr>
      </w:pPr>
      <w:r>
        <w:rPr>
          <w:rFonts w:cs="Verdana" w:ascii="Verdana" w:hAnsi="Verdana"/>
          <w:b/>
          <w:sz w:val="22"/>
        </w:rPr>
      </w:r>
    </w:p>
    <w:p>
      <w:pPr>
        <w:pStyle w:val="Normal"/>
        <w:ind w:start="2880" w:end="0"/>
        <w:jc w:val="both"/>
        <w:rPr>
          <w:rFonts w:ascii="Verdana" w:hAnsi="Verdana" w:cs="Verdana"/>
          <w:b/>
        </w:rPr>
      </w:pPr>
      <w:r>
        <w:rPr>
          <w:rFonts w:cs="Verdana" w:ascii="Verdana" w:hAnsi="Verdana"/>
          <w:b/>
        </w:rPr>
        <w:t>k. PG&amp;E Gas Transmission, Northwest Corporation</w:t>
      </w:r>
    </w:p>
    <w:p>
      <w:pPr>
        <w:pStyle w:val="Normal"/>
        <w:ind w:firstLine="270" w:start="2880" w:end="0"/>
        <w:jc w:val="both"/>
        <w:rPr>
          <w:rFonts w:ascii="Verdana" w:hAnsi="Verdana" w:cs="Verdana"/>
          <w:b/>
        </w:rPr>
      </w:pPr>
      <w:r>
        <w:rPr>
          <w:rFonts w:cs="Verdana" w:ascii="Verdana" w:hAnsi="Verdana"/>
          <w:b/>
        </w:rPr>
        <w:t>(PG&amp;E GTN)</w:t>
      </w:r>
    </w:p>
    <w:p>
      <w:pPr>
        <w:pStyle w:val="Normal"/>
        <w:ind w:firstLine="270" w:start="2880" w:end="0"/>
        <w:jc w:val="both"/>
        <w:rPr>
          <w:rFonts w:ascii="Verdana" w:hAnsi="Verdana" w:cs="Verdana"/>
          <w:b/>
          <w:sz w:val="22"/>
        </w:rPr>
      </w:pPr>
      <w:r>
        <w:rPr>
          <w:rFonts w:cs="Verdana" w:ascii="Verdana" w:hAnsi="Verdana"/>
        </w:rPr>
        <w:t xml:space="preserve">Docket No. RP00-567-000 </w:t>
      </w:r>
    </w:p>
    <w:p>
      <w:pPr>
        <w:pStyle w:val="Normal"/>
        <w:ind w:start="2880" w:end="0"/>
        <w:jc w:val="both"/>
        <w:rPr>
          <w:rFonts w:ascii="Verdana" w:hAnsi="Verdana" w:cs="Verdana"/>
          <w:b/>
        </w:rPr>
      </w:pPr>
      <w:r>
        <w:rPr>
          <w:rFonts w:cs="Verdana" w:ascii="Verdana" w:hAnsi="Verdana"/>
          <w:b/>
        </w:rPr>
        <w:t xml:space="preserve">l. Young Gas Storage Company, Ltd. (Young) </w:t>
      </w:r>
    </w:p>
    <w:p>
      <w:pPr>
        <w:pStyle w:val="Normal"/>
        <w:ind w:firstLine="270" w:start="2880" w:end="0"/>
        <w:jc w:val="both"/>
        <w:rPr>
          <w:rFonts w:ascii="Verdana" w:hAnsi="Verdana" w:cs="Verdana"/>
        </w:rPr>
      </w:pPr>
      <w:r>
        <w:rPr>
          <w:rFonts w:cs="Verdana" w:ascii="Verdana" w:hAnsi="Verdana"/>
        </w:rPr>
        <w:t xml:space="preserve">Docket No. RP00-594-000 </w:t>
      </w:r>
    </w:p>
    <w:p>
      <w:pPr>
        <w:pStyle w:val="Normal"/>
        <w:ind w:start="2880" w:end="0"/>
        <w:jc w:val="both"/>
        <w:rPr>
          <w:rFonts w:ascii="Verdana" w:hAnsi="Verdana" w:cs="Verdana"/>
          <w:b/>
        </w:rPr>
      </w:pPr>
      <w:r>
        <w:rPr>
          <w:rFonts w:cs="Verdana" w:ascii="Verdana" w:hAnsi="Verdana"/>
          <w:b/>
        </w:rPr>
        <w:t>m. Colorado Interstate Gas Company (CIG)</w:t>
      </w:r>
    </w:p>
    <w:p>
      <w:pPr>
        <w:pStyle w:val="Normal"/>
        <w:ind w:firstLine="360" w:start="2880" w:end="0"/>
        <w:jc w:val="both"/>
        <w:rPr>
          <w:rFonts w:ascii="Verdana" w:hAnsi="Verdana" w:cs="Verdana"/>
        </w:rPr>
      </w:pPr>
      <w:r>
        <w:rPr>
          <w:rFonts w:cs="Verdana" w:ascii="Verdana" w:hAnsi="Verdana"/>
        </w:rPr>
        <w:t xml:space="preserve">Docket No. RP00-596-000 </w:t>
      </w:r>
    </w:p>
    <w:p>
      <w:pPr>
        <w:pStyle w:val="Normal"/>
        <w:ind w:start="2880" w:end="0"/>
        <w:jc w:val="both"/>
        <w:rPr>
          <w:rFonts w:ascii="Verdana" w:hAnsi="Verdana" w:cs="Verdana"/>
        </w:rPr>
      </w:pPr>
      <w:r>
        <w:rPr>
          <w:rFonts w:cs="Verdana" w:ascii="Verdana" w:hAnsi="Verdana"/>
          <w:b/>
        </w:rPr>
        <w:t>n. Tennessee Gas Pipeline Company (Tennessee)</w:t>
      </w:r>
    </w:p>
    <w:p>
      <w:pPr>
        <w:pStyle w:val="Heading1"/>
        <w:ind w:firstLine="270" w:start="2880" w:end="0"/>
        <w:rPr>
          <w:sz w:val="20"/>
        </w:rPr>
      </w:pPr>
      <w:r>
        <w:rPr>
          <w:sz w:val="20"/>
        </w:rPr>
        <w:t xml:space="preserve">Docket No. RP01-020-000 </w:t>
      </w:r>
    </w:p>
    <w:p>
      <w:pPr>
        <w:pStyle w:val="Normal"/>
        <w:ind w:start="2880" w:end="0"/>
        <w:jc w:val="both"/>
        <w:rPr>
          <w:rFonts w:ascii="Verdana" w:hAnsi="Verdana" w:cs="Verdana"/>
          <w:b/>
        </w:rPr>
      </w:pPr>
      <w:r>
        <w:rPr>
          <w:rFonts w:cs="Verdana" w:ascii="Verdana" w:hAnsi="Verdana"/>
          <w:b/>
        </w:rPr>
        <w:t xml:space="preserve">o. Midwestern Gas Transmission Company (Midwestern)  </w:t>
      </w:r>
    </w:p>
    <w:p>
      <w:pPr>
        <w:pStyle w:val="Normal"/>
        <w:ind w:firstLine="270" w:start="2880" w:end="0"/>
        <w:jc w:val="both"/>
        <w:rPr>
          <w:rFonts w:ascii="Verdana" w:hAnsi="Verdana" w:cs="Verdana"/>
        </w:rPr>
      </w:pPr>
      <w:r>
        <w:rPr>
          <w:rFonts w:cs="Verdana" w:ascii="Verdana" w:hAnsi="Verdana"/>
        </w:rPr>
        <w:t xml:space="preserve">Docket No. RP01-021-000 </w:t>
      </w:r>
    </w:p>
    <w:p>
      <w:pPr>
        <w:pStyle w:val="Normal"/>
        <w:ind w:start="2880" w:end="0"/>
        <w:jc w:val="both"/>
        <w:rPr>
          <w:rFonts w:ascii="Verdana" w:hAnsi="Verdana" w:cs="Verdana"/>
          <w:b/>
        </w:rPr>
      </w:pPr>
      <w:r>
        <w:rPr>
          <w:rFonts w:cs="Verdana" w:ascii="Verdana" w:hAnsi="Verdana"/>
          <w:b/>
        </w:rPr>
        <w:t xml:space="preserve">p. Northwest Pipeline Corporation (Northwest)  </w:t>
      </w:r>
    </w:p>
    <w:p>
      <w:pPr>
        <w:pStyle w:val="Normal"/>
        <w:ind w:firstLine="270" w:start="2880" w:end="0"/>
        <w:jc w:val="both"/>
        <w:rPr>
          <w:rFonts w:ascii="Verdana" w:hAnsi="Verdana" w:cs="Verdana"/>
        </w:rPr>
      </w:pPr>
      <w:r>
        <w:rPr>
          <w:rFonts w:cs="Verdana" w:ascii="Verdana" w:hAnsi="Verdana"/>
        </w:rPr>
        <w:t xml:space="preserve">Docket No. RP00-506-001 </w:t>
      </w:r>
    </w:p>
    <w:p>
      <w:pPr>
        <w:pStyle w:val="Normal"/>
        <w:ind w:start="2880" w:end="0"/>
        <w:jc w:val="both"/>
        <w:rPr>
          <w:rFonts w:ascii="Verdana" w:hAnsi="Verdana" w:cs="Verdana"/>
          <w:b/>
        </w:rPr>
      </w:pPr>
      <w:r>
        <w:rPr>
          <w:rFonts w:cs="Verdana" w:ascii="Verdana" w:hAnsi="Verdana"/>
          <w:b/>
        </w:rPr>
      </w:r>
    </w:p>
    <w:p>
      <w:pPr>
        <w:pStyle w:val="Normal"/>
        <w:ind w:hanging="360" w:start="2880" w:end="0"/>
        <w:jc w:val="both"/>
        <w:rPr>
          <w:rFonts w:ascii="Verdana" w:hAnsi="Verdana" w:cs="Verdana"/>
          <w:b/>
        </w:rPr>
      </w:pPr>
      <w:r>
        <w:rPr>
          <w:rFonts w:cs="Verdana" w:ascii="Verdana" w:hAnsi="Verdana"/>
          <w:b/>
        </w:rPr>
        <w:t>3. Reporting Requirements</w:t>
      </w:r>
    </w:p>
    <w:p>
      <w:pPr>
        <w:pStyle w:val="Normal"/>
        <w:ind w:start="2880" w:end="0"/>
        <w:jc w:val="both"/>
        <w:rPr>
          <w:rFonts w:ascii="Verdana" w:hAnsi="Verdana" w:cs="Verdana"/>
          <w:b/>
        </w:rPr>
      </w:pPr>
      <w:r>
        <w:rPr>
          <w:rFonts w:cs="Verdana" w:ascii="Verdana" w:hAnsi="Verdana"/>
          <w:b/>
        </w:rPr>
        <w:t>a. Overthrust Pipeline Company  (Overthrust)</w:t>
      </w:r>
    </w:p>
    <w:p>
      <w:pPr>
        <w:pStyle w:val="Normal"/>
        <w:ind w:firstLine="270" w:start="2880" w:end="0"/>
        <w:jc w:val="both"/>
        <w:rPr>
          <w:rFonts w:ascii="Verdana" w:hAnsi="Verdana" w:cs="Verdana"/>
        </w:rPr>
      </w:pPr>
      <w:r>
        <w:rPr>
          <w:rFonts w:cs="Verdana" w:ascii="Verdana" w:hAnsi="Verdana"/>
        </w:rPr>
        <w:t xml:space="preserve">Docket No. RP00-558-000 </w:t>
      </w:r>
    </w:p>
    <w:p>
      <w:pPr>
        <w:pStyle w:val="Normal"/>
        <w:ind w:start="2880" w:end="0"/>
        <w:jc w:val="both"/>
        <w:rPr>
          <w:rFonts w:ascii="Verdana" w:hAnsi="Verdana" w:cs="Verdana"/>
          <w:b/>
        </w:rPr>
      </w:pPr>
      <w:r>
        <w:rPr>
          <w:rFonts w:cs="Verdana" w:ascii="Verdana" w:hAnsi="Verdana"/>
          <w:b/>
        </w:rPr>
        <w:t>b. Distrigas of Massachusetts LLC (DOMAC)</w:t>
      </w:r>
    </w:p>
    <w:p>
      <w:pPr>
        <w:pStyle w:val="Heading1"/>
        <w:ind w:firstLine="270" w:start="2880" w:end="0"/>
        <w:rPr>
          <w:sz w:val="20"/>
        </w:rPr>
      </w:pPr>
      <w:r>
        <w:rPr>
          <w:sz w:val="20"/>
        </w:rPr>
        <w:t>Docket No.  GT01-001-000</w:t>
      </w:r>
    </w:p>
    <w:p>
      <w:pPr>
        <w:pStyle w:val="Normal"/>
        <w:ind w:start="2880" w:end="0"/>
        <w:jc w:val="both"/>
        <w:rPr>
          <w:rFonts w:ascii="Verdana" w:hAnsi="Verdana" w:cs="Verdana"/>
          <w:b/>
        </w:rPr>
      </w:pPr>
      <w:r>
        <w:rPr>
          <w:rFonts w:cs="Verdana" w:ascii="Verdana" w:hAnsi="Verdana"/>
          <w:b/>
        </w:rPr>
        <w:t xml:space="preserve">c. Southern Natural Gas Company (Southern)  </w:t>
      </w:r>
    </w:p>
    <w:p>
      <w:pPr>
        <w:pStyle w:val="Normal"/>
        <w:ind w:firstLine="270" w:start="2880" w:end="0"/>
        <w:jc w:val="both"/>
        <w:rPr>
          <w:rFonts w:ascii="Verdana" w:hAnsi="Verdana" w:cs="Verdana"/>
        </w:rPr>
      </w:pPr>
      <w:r>
        <w:rPr>
          <w:rFonts w:cs="Verdana" w:ascii="Verdana" w:hAnsi="Verdana"/>
        </w:rPr>
        <w:t xml:space="preserve">Docket No. RP00-633-000 </w:t>
      </w:r>
    </w:p>
    <w:p>
      <w:pPr>
        <w:pStyle w:val="Heading2"/>
        <w:ind w:hanging="0" w:start="2880" w:end="0"/>
        <w:rPr>
          <w:rFonts w:ascii="Verdana" w:hAnsi="Verdana" w:cs="Verdana"/>
          <w:sz w:val="20"/>
        </w:rPr>
      </w:pPr>
      <w:r>
        <w:rPr>
          <w:rFonts w:cs="Verdana"/>
          <w:sz w:val="20"/>
        </w:rPr>
      </w:r>
    </w:p>
    <w:p>
      <w:pPr>
        <w:pStyle w:val="Heading2"/>
        <w:ind w:hanging="360" w:start="2880" w:end="0"/>
        <w:rPr>
          <w:sz w:val="20"/>
        </w:rPr>
      </w:pPr>
      <w:r>
        <w:rPr>
          <w:sz w:val="20"/>
        </w:rPr>
        <w:t>4. Other Filings</w:t>
      </w:r>
    </w:p>
    <w:p>
      <w:pPr>
        <w:pStyle w:val="Normal"/>
        <w:ind w:start="2880" w:end="0"/>
        <w:jc w:val="both"/>
        <w:rPr>
          <w:rFonts w:ascii="Verdana" w:hAnsi="Verdana" w:cs="Verdana"/>
          <w:b/>
        </w:rPr>
      </w:pPr>
      <w:r>
        <w:rPr>
          <w:rFonts w:cs="Verdana" w:ascii="Verdana" w:hAnsi="Verdana"/>
          <w:b/>
        </w:rPr>
        <w:t>a. Michigan Gas Storage Company (MGSCo)</w:t>
      </w:r>
    </w:p>
    <w:p>
      <w:pPr>
        <w:pStyle w:val="Normal"/>
        <w:ind w:firstLine="270" w:start="2880" w:end="0"/>
        <w:jc w:val="both"/>
        <w:rPr>
          <w:rFonts w:ascii="Verdana" w:hAnsi="Verdana" w:cs="Verdana"/>
        </w:rPr>
      </w:pPr>
      <w:r>
        <w:rPr>
          <w:rFonts w:cs="Verdana" w:ascii="Verdana" w:hAnsi="Verdana"/>
        </w:rPr>
        <w:t>Docket No. RP01-29-000</w:t>
      </w:r>
    </w:p>
    <w:p>
      <w:pPr>
        <w:pStyle w:val="Normal"/>
        <w:ind w:start="2880" w:end="0"/>
        <w:jc w:val="both"/>
        <w:rPr>
          <w:rFonts w:ascii="Verdana" w:hAnsi="Verdana" w:cs="Verdana"/>
          <w:b/>
        </w:rPr>
      </w:pPr>
      <w:r>
        <w:rPr>
          <w:rFonts w:cs="Verdana" w:ascii="Verdana" w:hAnsi="Verdana"/>
          <w:b/>
        </w:rPr>
        <w:t>b. Reliant Energy Gas Transmission Company (REGT)</w:t>
      </w:r>
    </w:p>
    <w:p>
      <w:pPr>
        <w:pStyle w:val="Normal"/>
        <w:ind w:firstLine="270" w:start="2880" w:end="0"/>
        <w:jc w:val="both"/>
        <w:rPr>
          <w:rFonts w:ascii="Verdana" w:hAnsi="Verdana" w:cs="Verdana"/>
        </w:rPr>
      </w:pPr>
      <w:r>
        <w:rPr>
          <w:rFonts w:cs="Verdana" w:ascii="Verdana" w:hAnsi="Verdana"/>
        </w:rPr>
        <w:t xml:space="preserve">Docket No. RP00-571-000 </w:t>
      </w:r>
    </w:p>
    <w:p>
      <w:pPr>
        <w:pStyle w:val="Normal"/>
        <w:jc w:val="both"/>
        <w:rPr>
          <w:rFonts w:ascii="Verdana" w:hAnsi="Verdana" w:cs="Verdana"/>
          <w:b/>
        </w:rPr>
      </w:pPr>
      <w:r>
        <w:rPr>
          <w:rFonts w:cs="Verdana" w:ascii="Verdana" w:hAnsi="Verdana"/>
          <w:b/>
        </w:rPr>
      </w:r>
    </w:p>
    <w:p>
      <w:pPr>
        <w:pStyle w:val="Normal"/>
        <w:jc w:val="both"/>
        <w:rPr>
          <w:rFonts w:ascii="Verdana" w:hAnsi="Verdana" w:cs="Verdana"/>
          <w:b/>
          <w:sz w:val="24"/>
        </w:rPr>
      </w:pPr>
      <w:r>
        <w:rPr>
          <w:rFonts w:cs="Verdana" w:ascii="Verdana" w:hAnsi="Verdana"/>
          <w:b/>
          <w:sz w:val="24"/>
        </w:rPr>
      </w:r>
      <w:r>
        <w:br w:type="page"/>
      </w:r>
    </w:p>
    <w:p>
      <w:pPr>
        <w:pStyle w:val="Normal"/>
        <w:jc w:val="both"/>
        <w:rPr>
          <w:rFonts w:ascii="Verdana" w:hAnsi="Verdana" w:cs="Verdana"/>
          <w:b/>
          <w:sz w:val="24"/>
        </w:rPr>
      </w:pPr>
      <w:r>
        <w:rPr>
          <w:rFonts w:cs="Verdana" w:ascii="Verdana" w:hAnsi="Verdana"/>
          <w:b/>
          <w:sz w:val="24"/>
        </w:rPr>
      </w:r>
    </w:p>
    <w:p>
      <w:pPr>
        <w:pStyle w:val="Normal"/>
        <w:jc w:val="both"/>
        <w:rPr>
          <w:rFonts w:ascii="Verdana" w:hAnsi="Verdana" w:cs="Verdana"/>
          <w:b/>
          <w:sz w:val="24"/>
        </w:rPr>
      </w:pPr>
      <w:r>
        <w:rPr>
          <w:rFonts w:cs="Verdana" w:ascii="Verdana" w:hAnsi="Verdana"/>
          <w:b/>
          <w:sz w:val="24"/>
        </w:rPr>
      </w:r>
    </w:p>
    <w:p>
      <w:pPr>
        <w:pStyle w:val="Normal"/>
        <w:jc w:val="both"/>
        <w:rPr>
          <w:rFonts w:ascii="Verdana" w:hAnsi="Verdana" w:cs="Verdana"/>
          <w:b/>
          <w:sz w:val="24"/>
        </w:rPr>
      </w:pPr>
      <w:r>
        <w:rPr>
          <w:rFonts w:cs="Verdana" w:ascii="Verdana" w:hAnsi="Verdana"/>
          <w:b/>
          <w:sz w:val="24"/>
        </w:rPr>
        <w:t>1. Technical Conferences</w:t>
      </w:r>
    </w:p>
    <w:p>
      <w:pPr>
        <w:pStyle w:val="Normal"/>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a. Tennessee Gas Pipeline Company (Tennessee)</w:t>
      </w:r>
    </w:p>
    <w:p>
      <w:pPr>
        <w:pStyle w:val="Heading6"/>
        <w:rPr/>
      </w:pPr>
      <w:r>
        <w:rPr/>
        <w:t>Docket No. RP00-477-000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FERC noticed a technical conference to discuss several issues raised by Tennessee’s filing to comply with Order No. 637 to be held on November 14, 2000 at 10:00 am, in a room to be designated at the offices of FERC, 888 First Street, NE, Washington, DC.</w:t>
      </w:r>
    </w:p>
    <w:p>
      <w:pPr>
        <w:pStyle w:val="Normal"/>
        <w:ind w:start="1440" w:end="0"/>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b. Kinder Morgan Interstate Gas Transmission (Kinder Morgan)</w:t>
      </w:r>
    </w:p>
    <w:p>
      <w:pPr>
        <w:pStyle w:val="Heading6"/>
        <w:rPr/>
      </w:pPr>
      <w:r>
        <w:rPr/>
        <w:t>Docket No. RP00-343-000</w:t>
      </w:r>
    </w:p>
    <w:p>
      <w:pPr>
        <w:pStyle w:val="Normal"/>
        <w:ind w:start="144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FERC noticed a technical conference to discuss several issues raised by Kinder Morgan’s filing to comply with Order No. 637 to be held on November 1, 2000 at 10:00 am, in a room to be designated at the offices of FERC, 888 First Street, NE, Washington, DC.</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c. Columbia Gas Transmission Corporation (Columbia)</w:t>
      </w:r>
    </w:p>
    <w:p>
      <w:pPr>
        <w:pStyle w:val="Heading6"/>
        <w:rPr/>
      </w:pPr>
      <w:r>
        <w:rPr/>
        <w:t>Docket Not. RP00-374-000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FERC noticed a technical conference to discuss several issues raised by Columbia’s filing to comply with Order No. 637 to be held on October 17, 2000 at 10:00 am, in a room to be designated at the offices of FERC, 888 First Street, NE, Washington, DC.</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d. Koch Gateway Pipeline Company (Koch Gateway)</w:t>
      </w:r>
    </w:p>
    <w:p>
      <w:pPr>
        <w:pStyle w:val="Heading6"/>
        <w:rPr/>
      </w:pPr>
      <w:r>
        <w:rPr/>
        <w:t>Docket No. RP00-340-000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6, 2000, FERC noticed a second technical conference to discuss several issues raised by Koch Gateway’s filing to comply with Order No. 637 to be held on October 25, 2000 at 9:00 am, in a room to be designated at the offices of FERC, 888 First Street, NE, Washington, DC. to discuss segmentation issues raised in Koch Gateway Pipeline Company's June 15, 2000 Order 637 compliance filing.  On September 20, 2000, a technical conference was held to discuss the various issues raised by Koch's filing.</w:t>
      </w:r>
    </w:p>
    <w:p>
      <w:pPr>
        <w:pStyle w:val="Normal"/>
        <w:ind w:start="720" w:end="0"/>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r>
    </w:p>
    <w:p>
      <w:pPr>
        <w:pStyle w:val="Heading2"/>
        <w:ind w:hanging="0" w:start="0"/>
        <w:rPr/>
      </w:pPr>
      <w:r>
        <w:rPr/>
        <w:t>2. Removal of Price Cap and ROFR</w:t>
      </w:r>
    </w:p>
    <w:p>
      <w:pPr>
        <w:pStyle w:val="Normal"/>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a. Algonquin Gas Transmission Company (Algonquin)</w:t>
      </w:r>
    </w:p>
    <w:p>
      <w:pPr>
        <w:pStyle w:val="Heading1"/>
        <w:ind w:firstLine="360" w:start="720" w:end="0"/>
        <w:rPr/>
      </w:pPr>
      <w:r>
        <w:rPr/>
        <w:t xml:space="preserve">Docket No. RP00-533-000 </w:t>
      </w:r>
    </w:p>
    <w:p>
      <w:pPr>
        <w:pStyle w:val="Normal"/>
        <w:ind w:start="720" w:end="0"/>
        <w:jc w:val="both"/>
        <w:rPr>
          <w:rFonts w:ascii="Verdana" w:hAnsi="Verdana" w:cs="Verdana"/>
          <w:sz w:val="24"/>
        </w:rPr>
      </w:pPr>
      <w:r>
        <w:rPr>
          <w:rFonts w:cs="Verdana" w:ascii="Verdana" w:hAnsi="Verdana"/>
          <w:sz w:val="24"/>
        </w:rPr>
      </w:r>
    </w:p>
    <w:p>
      <w:pPr>
        <w:pStyle w:val="BodyText"/>
        <w:ind w:start="720" w:end="0"/>
        <w:rPr/>
      </w:pPr>
      <w:r>
        <w:rPr/>
        <w:t>On October 4, 2000, FERC issued an order which accepted, subject to condition, Algonquin Gas Transmission Company's September 5, 2000 revised tariff sheets regarding short-term capacity release transactions and ROFR.</w:t>
      </w:r>
    </w:p>
    <w:p>
      <w:pPr>
        <w:pStyle w:val="BodyText"/>
        <w:ind w:start="720" w:end="0"/>
        <w:rPr/>
      </w:pPr>
      <w:r>
        <w:rPr/>
      </w:r>
    </w:p>
    <w:p>
      <w:pPr>
        <w:pStyle w:val="BodyText"/>
        <w:ind w:start="720" w:end="0"/>
        <w:rPr/>
      </w:pPr>
      <w:r>
        <w:rPr/>
        <w:t>FERC stated the language in existing Section 9.3 only provides for a ROFR when Algonquin serves notice of termination, whereas proposed Section 9.10 provides for a ROFR when the customer elects to partially terminate a volumetric portion of their open-access contracts.  FERC directed Algonquin to file to revised tariff sheets by October 19, 2000 so that Sections 9.3 and 9.10 are more expressly consistent and provide for the ROFR provision to apply whether the customer or the pipeline provides notice of termination.</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Consolidated Edison Company of New York, Inc. and Orange and Rockland Utilities, Inc. requested clarification that the language: "The rate paid by a Replacement Customer in any capacity release transaction with a term of less than one year during the period from March 27, 2000, through September 30, 2002, or any later date established by the Commission, which is not subject to the maximum rate cap is deemed to be a final rate and is not subject to refund" does not affect Algonquin's obligation to make refunds directly to the releasing shipper of any amounts it receives by it in excess of the ultimately approved just and reasonable maximum rates.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FERC found no change is warranted in Algonquin's proposed tariff language, but FERC clarified that Algonquin will continue to be under an obligation to make refunds directly to the releasing shipper of any amounts received by it in excess of the ultimately approved just and reasonable maximum rates.  FERC reiterated that the rate paid by the replacement shipper for short-term capacity is not subject to refund under Order No. 637.</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b. East Tennessee Natural Gas Company (East Tennessee)</w:t>
      </w:r>
    </w:p>
    <w:p>
      <w:pPr>
        <w:pStyle w:val="Heading6"/>
        <w:rPr/>
      </w:pPr>
      <w:r>
        <w:rPr/>
        <w:t xml:space="preserve">Docket No. RP00-534-000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4, 2000, FERC issued an order that accepted East Tennessee’s September 5, 2000 tariff sheets pursuant to Order Nos. 637, 637-A and 637-B, regarding waiver of the rate ceiling for short-term capacity releases and limitations on the availability of the ROFR.  Specifically the tariff sheets 1) gave bidders the right to match bids; 2) stated the short-term release rate not subject to the maximum rate cap, applicable through September 30, 2002, is not subject to refund; 3) applied ROFR only to contracts at the maximum tariff rate with a service term of a minimum of 12 consecutive months or longer than a year when service is not available on a consecutive 12-month basis; and 4) provided customers with the tariff option to submit a termination notice for a volumetric portion of firm service agreements with ROFR rights applicable to the retained volumetric portion.</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 xml:space="preserve">c. Texas Eastern Transmission Corporation  (Texas Eastern) </w:t>
      </w:r>
    </w:p>
    <w:p>
      <w:pPr>
        <w:pStyle w:val="Heading6"/>
        <w:rPr/>
      </w:pPr>
      <w:r>
        <w:rPr/>
        <w:t xml:space="preserve">Docket No. RP00-535-000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FERC issued an order that accepted, subject to condition, Texas Eastern's September 5, 2000 revised tariff sheets.  The revised tariff sheets complied with Order 637 regarding the waiver of the rate ceiling for short-term (less than one year) capacity release transactions until September 30, 2002 and the prospective limitations on the availability of the ROFR, as well as provide customers with the tariff option to partially terminate a volumetric portion of their open-access contracts.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ROFR</w:t>
      </w:r>
    </w:p>
    <w:p>
      <w:pPr>
        <w:pStyle w:val="Normal"/>
        <w:ind w:start="720" w:end="0"/>
        <w:jc w:val="both"/>
        <w:rPr>
          <w:rFonts w:ascii="Verdana" w:hAnsi="Verdana" w:cs="Verdana"/>
          <w:sz w:val="24"/>
        </w:rPr>
      </w:pPr>
      <w:r>
        <w:rPr>
          <w:rFonts w:cs="Verdana" w:ascii="Verdana" w:hAnsi="Verdana"/>
          <w:sz w:val="24"/>
        </w:rPr>
        <w:t xml:space="preserve">FERC noted that Texas Eastern's tariff language in Section 3.13(A) prevented customers from exercising their ROFR to retain a portion of their capacity at contract expiration whenever the customer, as opposed to the pipeline, gives notice of termination of the contract.  FERC also noted that Section 3.16 provided customers the option to terminate a volumetric portion of their contracts while retaining ROFR rights on the retained volumetric portion.  Therefore, FERC directed Texas Eastern to modify its tariff by October 20, 2000 so that Section 3.13(A) and 3.16 are more expressly consistent and provide for the ROFR provision to apply whether the customer or the pipeline provides notice of termination.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FERC clarified that existing discounted firm service long-term contract holders of contracts entered into prior to the effective date of Order No. 637 will continue to have ROFR rights, upon expiration of their present contracts, provided that the new or re-executed firm service contracts are at the maximum rate for a period of 12 months or for more than one year for service which is not available for twelve consecutive months.  FERC interpreted the language contained in Section 3.13(A) of Texas Eastern's tariff to allow customers who entered into negotiated or discounted rate contracts prior to October 1, 2000 a one time opportunity to be eligible for the right-of-first-refusal provisions.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CAPACITY RELEASE</w:t>
      </w:r>
    </w:p>
    <w:p>
      <w:pPr>
        <w:pStyle w:val="Normal"/>
        <w:ind w:start="720" w:end="0"/>
        <w:jc w:val="both"/>
        <w:rPr>
          <w:rFonts w:ascii="Verdana" w:hAnsi="Verdana" w:cs="Verdana"/>
          <w:sz w:val="24"/>
        </w:rPr>
      </w:pPr>
      <w:r>
        <w:rPr>
          <w:rFonts w:cs="Verdana" w:ascii="Verdana" w:hAnsi="Verdana"/>
          <w:sz w:val="24"/>
        </w:rPr>
        <w:t xml:space="preserve">FERC found no change is warranted with the following language: "[t]he rate paid by a Replacement Customer in any capacity release transaction with a term of less than one (1) year during the period from March 27, 2000, through September 30, 2002, or any later date established by the Commission, which is not subject to the maximum rate cap is deemed to be a final rate and is not subject to refund."  However, FERC clarified that Texas Eastern will continue to be under an obligation to make refunds directly to the releasing shipper of any amounts received in excess of the ultimately approved just and reasonable maximum rates and that the rate paid by the replacement shipper for short-term capacity is not subject to refund under Order No. 637.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d. High Island Offshore System, LLC (HIOS)</w:t>
      </w:r>
    </w:p>
    <w:p>
      <w:pPr>
        <w:pStyle w:val="Heading6"/>
        <w:rPr/>
      </w:pPr>
      <w:r>
        <w:rPr/>
        <w:t xml:space="preserve">Docket No. RP00-547-000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October 4, 2000, FERC issued an order which accepted HIOS’ revised tariff sheets, filed on September 15, 2000, effective October 1, 2000, with the exception of one tariff provision.  The tariff sheets reflected removal of the maximum rate ceiling for short term capacity release transactions until September 30, 2002 and were filed in compliance with FERC Order No. 637.  FERC stated that in removing the price cap for short-term capacity release, HIOS included the following language in Section 17.5(b) of its General Terms and Conditions, "...during the period until September 30, 2002 the release term is more than one year..."  FERC stated that since Section 284.8(i) of its regulations defines short-term transactions as those having a duration of less than one year, long-term transactions are those having a duration of one year or greater, and not "greater than one year" as proposed by HIOS.  FERC therefore directed HIOS to file, by October 16, 2000, a revised tariff sheet reflecting this modification.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e. Gulf States Transmission Corporation (Gulf States)</w:t>
      </w:r>
    </w:p>
    <w:p>
      <w:pPr>
        <w:pStyle w:val="Heading6"/>
        <w:rPr/>
      </w:pPr>
      <w:r>
        <w:rPr/>
        <w:t xml:space="preserve">Docket No. RP00-548-000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October 5, 2000, FERC issued an order which accepted, subject to condition, Gulf States’ September 15, 2000 revised tariff sheets, to be effective October 1, 2000.  The tariff sheets removed the maximum rate ceiling for short-term capacity releases until September 30, 2002 and were filed pursuant to Order No. 637.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Gulf States revised Section 23.7, (Third Revised Sheet No. 58K) Open Season and Matching Period in order to allow long-term pre-arranged deals at the maximum tariff rate to be exempt from the posting and bidding requirements as permitted by Order No. 637.  FERC stated that the revised language is incorrect with respect to Order No. 637 because the tariff revision defines long-term service as service with a term of "more than one year" rather than "one year or more."  FERC, therefore, directed Gulf States to revise its language accordingly.</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f. U-T Offshore System, LLC (UTOS)</w:t>
      </w:r>
    </w:p>
    <w:p>
      <w:pPr>
        <w:pStyle w:val="Heading7"/>
        <w:rPr/>
      </w:pPr>
      <w:r>
        <w:rPr/>
        <w:t xml:space="preserve">Docket No. RP00-549-000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4, 2000, FERC issued an order which accepted, with the exception of one tariff provision, UTOS’ September 15, 2000 revised tariff sheets, to be effective October 1, 2000.  The tariff sheets removed the maximum rate ceiling for short term capacity releases until September 30, 2002 pursuant to Order No. 637.</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Amoco Production Company and BP Energy Company filed a motion to intervene on September 27, 2000, and jointly requested a clarification of HIOS' language used to define long-term transactions.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In removing the price cap for short-term capacity release, UTOS included the following language in Section 17.5(b) of its General Terms and Conditions GT&amp;C, "...during the period until September 30, 2002 the release term is more than one year..."  FERC stated that long-term transactions are those having a duration of one year or greater, and not "greater than one year" as proposed by UTOS.  FERC directed UTOS to file, by October 16, 2000, a revised tariff sheet reflecting this modification.  FERC stated that this action should satisfy intervenors' request.</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g. Stingray Pipeline Company (Stingray)</w:t>
      </w:r>
    </w:p>
    <w:p>
      <w:pPr>
        <w:pStyle w:val="Heading6"/>
        <w:rPr/>
      </w:pPr>
      <w:r>
        <w:rPr/>
        <w:t xml:space="preserve">Docket No. RP00-550-000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FERC issued an order that accepted, subject to condition, Stingray’s September 15, 2000 revised tariff sheets, to be effective October 1, 2000.  The tariff sheets remove the maximum rate ceiling for short term capacity releases until September 30, 2002 pursuant to Order 637.</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FERC stated that although Stingray revised its tariff in order to allow long-term pre-arranged deals at the maximum tariff rate to be exempt from the posting and bidding requirements, the revised language was incorrect because the tariff revision defined long-term service as service with a term of "more than one year" rather than "one year or more."  FERC therefore directed Stingray to change the reference in Section 16.6 of the GT&amp;C from "more than one year" to "one year or more."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h. Dominion Transmission, Inc. (Dominion)</w:t>
      </w:r>
    </w:p>
    <w:p>
      <w:pPr>
        <w:pStyle w:val="Heading6"/>
        <w:rPr/>
      </w:pPr>
      <w:r>
        <w:rPr/>
        <w:t>Docket No. RP00-440-001</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5, 2000, Dominion filed revised tariff sheets to comply with the directive in FERC's letter order dated September 6, 2000 and refiled the tariff provisions accepted in the September 6 Order to incorporate them into Dominion's Third Revised Volume No. 1.  Dominion stated it included a comparison of the affected sheet number references from its FERC Gas Tariff, Second Revised Volume No. 1 to its new Third Revised Volume No. 1.  Dominion proposed an effective date of September 23, 2000 to coincide with the requested proposed effective date of its Third Revised Volume No. 1.</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September 6, 2000, FERC conditionally accepted Dominion's August 7, 2000 filing in Docket No. RP00-440-000, but ordered Dominion to refile Section 23.2.E, so that prearranged releases for one year or more at the maximum rate are exempted from the posting and bidding requirements.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September 22, 2000, Dominion filed in Docket No. RP00-555-000 its FERC Gas Tariff, Third Revised Volume No. 1 for the purpose of reflecting its name change to Dominion Transmission, Inc.  Dominion stated that at the time of that filing, the proposed changes to its capacity release provisions were not incorporated into Third Revised Volume No. 1 because the proposed tariff sheets were still outstanding and subject to this compliance filing. </w:t>
      </w:r>
    </w:p>
    <w:p>
      <w:pPr>
        <w:pStyle w:val="Normal"/>
        <w:ind w:start="720" w:end="0"/>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i. Portland Natural Gas Transmission System (PNGTS)</w:t>
      </w:r>
    </w:p>
    <w:p>
      <w:pPr>
        <w:pStyle w:val="Heading7"/>
        <w:rPr/>
      </w:pPr>
      <w:r>
        <w:rPr/>
        <w:t xml:space="preserve">Docket No. RP00-569-000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September 25, 2000, PNGTS filed revised tariff sheets in compliance with the requirements of Order No. 637 regarding the waiver of the rate ceiling for short-term capacity release transactions.  PNGTS stated that this filing modifies Section 11 of its tariff to reflect the absence of the rate ceiling on short-term capacity releases from March 27, 2000 to September 30, 2002.  PNGTS said that it included these revised tariff provisions in its August 15, 2000 pro forma tariff filing, but is resubmitting them pursuant to a FERC request.  PNGTS requested an effective date of March 27, 2000 for this filing.</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j. Wyoming Interstate Company, Ltd. (WIC)</w:t>
      </w:r>
    </w:p>
    <w:p>
      <w:pPr>
        <w:pStyle w:val="Heading7"/>
        <w:rPr/>
      </w:pPr>
      <w:r>
        <w:rPr/>
        <w:t xml:space="preserve">Docket No. RP00-592-000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September 29, 2000, Wyoming Interstate Company, Ltd. (WIC) filed revised tariff sheets to change the right of first refusal (ROFR) provisions, as required by Order No. 637.  WIC proposed to change the ROFR provisions of its tariff to state for agreements on or after March 27, 2000, to be eligible a firm shipper's contract must be for service for twelve consecutive months or more at the applicable maximum rate or more than one year for service which is not available for 12 consecutive months.  Additionally, WIC proposed clarifications concerning incremental rates and a shipper not having the right to exercise the right of first refusal for a geographic portion of its agreement.</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k. PG&amp;E Gas Transmission, Northwest Corporation  (PG&amp;E GTN)</w:t>
      </w:r>
    </w:p>
    <w:p>
      <w:pPr>
        <w:pStyle w:val="Heading6"/>
        <w:rPr/>
      </w:pPr>
      <w:r>
        <w:rPr/>
        <w:t xml:space="preserve">Docket No. RP00-567-000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PG&amp;E GTN submitted tariff sheets to comply with FERC's Order 637 regarding the removal of the price cap on short term capacity releases until September 30, 2002. PG&amp;E GTN amended Sheet No. 99 to clarify that bids for capacity released for a term of less than one year may exceed the maximum tariff rate.  PG&amp;E also modified Sheet No. 101 to clarify that the percent of maximum rate bid for capacity released for less than one year may exceed 100 percent of PG&amp;E GTN's reservation rate.</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 xml:space="preserve">l. Young Gas Storage Company, Ltd. (Young) </w:t>
      </w:r>
    </w:p>
    <w:p>
      <w:pPr>
        <w:pStyle w:val="Heading7"/>
        <w:rPr/>
      </w:pPr>
      <w:r>
        <w:rPr/>
        <w:t xml:space="preserve">Docket No. RP00-594-000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Young submitted its pro forma tariff sheets to comply with Order Nos. 637, 637-A and 637-B regarding limits on the availability of ROFR. Young amended the right of first refusal section of its tariff to state for agreements effective on or after March 27, 2000, "to be eligible to exercise this regulatory right of first refusal, the firm shipper's contract must be for service for twelve consecutive months or more at the applicable maximum rate for that service, except that a contract for more than one year, for a service which is not available for 12 consecutive months, would be subject to the right of first refusal".</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m. Colorado Interstate Gas Company (CIG)</w:t>
      </w:r>
    </w:p>
    <w:p>
      <w:pPr>
        <w:pStyle w:val="Heading8"/>
        <w:rPr/>
      </w:pPr>
      <w:r>
        <w:rPr/>
        <w:t xml:space="preserve">Docket No. RP00-596-000 </w:t>
      </w:r>
    </w:p>
    <w:p>
      <w:pPr>
        <w:pStyle w:val="Normal"/>
        <w:ind w:start="720" w:end="0"/>
        <w:jc w:val="both"/>
        <w:rPr>
          <w:rFonts w:ascii="Verdana" w:hAnsi="Verdana" w:cs="Verdana"/>
          <w:sz w:val="24"/>
        </w:rPr>
      </w:pPr>
      <w:r>
        <w:rPr>
          <w:rFonts w:cs="Verdana" w:ascii="Verdana" w:hAnsi="Verdana"/>
          <w:sz w:val="24"/>
        </w:rPr>
      </w:r>
    </w:p>
    <w:p>
      <w:pPr>
        <w:pStyle w:val="BodyText"/>
        <w:ind w:start="720" w:end="0"/>
        <w:rPr/>
      </w:pPr>
      <w:r>
        <w:rPr/>
        <w:t>On September 29, 2000, CIG filed proposed tariff revisions to reflect changes in CIG's ROFR provisions.  CIG has changed the ROFR section of its tariff to state for agreements effective on or after March 27, 2000 "to be eligible to exercise their ROFR, the firm shipper's contract must be for service for twelve consecutive months or more that the applicable maximum rate for that service, except that a contract for more than one year, for a service which is not available for 12 consecutive months, would be subject to ROFR."</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b/>
          <w:sz w:val="24"/>
        </w:rPr>
        <w:t>n. Tennessee Gas Pipeline Company (Tennessee)</w:t>
      </w:r>
    </w:p>
    <w:p>
      <w:pPr>
        <w:pStyle w:val="Heading1"/>
        <w:ind w:firstLine="360" w:start="720" w:end="0"/>
        <w:rPr/>
      </w:pPr>
      <w:r>
        <w:rPr/>
        <w:t xml:space="preserve">Docket No. RP01-020-000 </w:t>
      </w:r>
    </w:p>
    <w:p>
      <w:pPr>
        <w:pStyle w:val="Normal"/>
        <w:ind w:start="720" w:end="0"/>
        <w:jc w:val="both"/>
        <w:rPr>
          <w:rFonts w:ascii="Verdana" w:hAnsi="Verdana" w:cs="Verdana"/>
          <w:sz w:val="24"/>
        </w:rPr>
      </w:pPr>
      <w:r>
        <w:rPr>
          <w:rFonts w:cs="Verdana" w:ascii="Verdana" w:hAnsi="Verdana"/>
          <w:sz w:val="24"/>
        </w:rPr>
      </w:r>
    </w:p>
    <w:p>
      <w:pPr>
        <w:pStyle w:val="BodyTextIndent"/>
        <w:rPr/>
      </w:pPr>
      <w:r>
        <w:rPr/>
        <w:t>On October 2, 2000, Tennessee filed revised tariff sheets in compliance with the right of first refusal (ROFR) requirements of Order No. 637.  Tennessee proposed, prospectively, to provide that ROFR applies only to agreements for firm service for twelve or more consecutive months at the applicable maximum rate.  Tennessee asserted that as a result of these tariff changes, ROFR cannot be exercised for a geographic portion of an existing contract.  Additionally, Tennessee said that unless mutually agreed otherwise, ROFR will not be applicable to negotiated rate arrangements and discount agreements executed after March 27, 2000.  Finally, Tennessee asserted that the proposed tariff provision grandfathers ROFR as applicable to existing shippers that entered into negotiated rate arrangements or long term agreements at less than maximum rate prior to March 27, 2000.  Tennessee stated it is also submitting conforming revisions to the form of service agreements for use under Tennessee's firm service rate schedules.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 xml:space="preserve">o. Midwestern Gas Transmission Company (Midwestern)  </w:t>
      </w:r>
    </w:p>
    <w:p>
      <w:pPr>
        <w:pStyle w:val="Heading6"/>
        <w:rPr/>
      </w:pPr>
      <w:r>
        <w:rPr/>
        <w:t xml:space="preserve">Docket No. RP01-021-000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2, 2000, Midwestern filed revised tariff sheets in compliance with Order No. 637's mandate regarding the right of first refusal (ROFR), noting that under the new rule, ROFR applies prospectively only to agreements for firm service for twelve or more consecutive months at the applicable maximum rate.  Midwestern stated it is also submitting conforming revisions to the form of service agreement for use under Midwestern's firm service rate schedules.  Midwestern's proposal would 1) attach ROFR only to long term firm service agreements at the applicable maximum rate; 2) exclude negotiated rate arrangements and discount agreements executed after March 27, 2000 from ROFR applicability, unless mutually agreed otherwise; and 3) grandfather ROFR for existing shippers that entered into negotiated rate agreements or long term agreements at less than the maximum rate prior to March 27, 2000.  Midwestern proposed an effective date of November 1, 2000 for this filing.</w:t>
      </w:r>
    </w:p>
    <w:p>
      <w:pPr>
        <w:pStyle w:val="Normal"/>
        <w:ind w:start="720" w:end="0"/>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 xml:space="preserve">p. Northwest Pipeline Corporation (Northwest)  </w:t>
      </w:r>
    </w:p>
    <w:p>
      <w:pPr>
        <w:pStyle w:val="Heading6"/>
        <w:rPr/>
      </w:pPr>
      <w:r>
        <w:rPr/>
        <w:t xml:space="preserve">Docket No. RP00-506-001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October 2, 2000, Northwest submitted revised tariff sheets to correct clerical errors on Fourteenth Revised Sheet No. 5A.  Northwest indicated that it had incorrectly submitted Fourteenth Revised Sheet No. 5A to be effective March 27, 2000, instead of First Revised Twelfth Revised Sheet No. 5A, including functional rate components that did not become effective until July 1, 2000.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In Docket No. RP00-506-000, Northwest filed pro forma tariff revisions in order to implement the removal of the price cap on short-term capacity release transactions and to modify ROFR in order to comply with Order No. 637.  Northwest also modified its tariff in order to clarify that a shipper wishing to retain only a portion of its capacity under a ROFR would have the right to retain only a volumetric portion, not a geographic one.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September 22, 2000 FERC issued an Order in Docket No. RP00-506-000 which accepted Fourteenth Revised Sheet No. 5A which was filed by Northwest on August 25, 2000, to be effective March 27, 2000.  Northwest indicated that it had incorrectly submitted Fourteenth Revised Sheet No. 5A to be effective March 27, 2000, instead of First Revised Twelfth Revised Sheet No. 5A, including functional rate components that did not become effective until July 1, 2000.  To correct these problems, Northwest submitted Substitute Fourteenth Revised Sheet No. 5A, effective March 27, 2000, to replace the incorrect functional rate components with the functional rate components that were in effect on March 27, 2000 prior to the August 25, 2000 submission, and Fifteenth Revised Sheet No. 5A, effective July 1, 2000, to update the functional rate components shown on Substitute Fourteenth Revised Sheet No. 5A with the functional rate components that were accepted by FERC and previously placed into effect on July 1, 2000.</w:t>
      </w:r>
    </w:p>
    <w:p>
      <w:pPr>
        <w:pStyle w:val="Normal"/>
        <w:ind w:start="720" w:end="0"/>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b/>
          <w:sz w:val="24"/>
        </w:rPr>
      </w:pPr>
      <w:r>
        <w:rPr>
          <w:rFonts w:cs="Verdana" w:ascii="Verdana" w:hAnsi="Verdana"/>
          <w:b/>
          <w:sz w:val="24"/>
        </w:rPr>
        <w:t>3. Reporting Requirements</w:t>
      </w:r>
    </w:p>
    <w:p>
      <w:pPr>
        <w:pStyle w:val="Normal"/>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a. Overthrust Pipeline Company  (Overthrust)</w:t>
      </w:r>
    </w:p>
    <w:p>
      <w:pPr>
        <w:pStyle w:val="Heading6"/>
        <w:rPr/>
      </w:pPr>
      <w:r>
        <w:rPr/>
        <w:t xml:space="preserve">Docket No. RP00-558-000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Overthrust submitted tariff sheets to 1) reflect the removal of Enron Overthrust Pipeline Company from the general partnership effective January 1, 2000 and 2) clarify and simplify its language on affiliate relationships to comply with FERC's Order No. 637 requiring pipeline companies to post on their Internet Web Site, operating personnel and facilities shared by the company and any marketing affiliate, and to update the information within three business days of any change.</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Overthrust amended Third Revised Sheet No. 2  to reflect the removal of Enron Overthrust Pipeline Company from Overthrust's general partnership.</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Overthrust amended Fourth Revised Sheet No. 76 to reflect FERC's requirement to post information regarding Overthrust's affiliates on its Internet Web Site and to update the information within three business days of any change.</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b. Distrigas of Massachusetts LLC (DOMAC)</w:t>
      </w:r>
    </w:p>
    <w:p>
      <w:pPr>
        <w:pStyle w:val="Heading1"/>
        <w:ind w:firstLine="360" w:start="720" w:end="0"/>
        <w:rPr/>
      </w:pPr>
      <w:r>
        <w:rPr/>
        <w:t>Docket No.  GT01-001-000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October 2, 2000, DOMAC, in compliance with FERC's regulations, submitted Ninth Revised Sheet No. 94 reflecting the semiannual update to DOMAC's Index of Customers, which includes customer contracts in effect as of September 30, 2000.  DOMAC requested an effective date of December 1, 2000 for this sheet.</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DOMAC deleted all information relating to the City of Norwich Department of Public Utilities, Providence Energy Services, Inc., and The Berkshire Gas Company for Rate Schedule FVSS.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DOMAC changed the record for Boston Gas Company so that the Date of Initial Sale which was 4/1/00 is now 3/15/00 and the Scheduled Contract Termination which was 10/31/08 is now 10/31/00.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DOMAC changed the Fall River Gas Company record so that the Scheduled Contract Termination is now 10/31/02, instead of 10/31/04.</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DOMAC added a record for Consolidated Edison Co. of New York as follows:  1) Rate Schedule -- FLSS; 2) Date of Initial Sale -- 9/1/00; 3) Scheduled Contract Termination -- 10/31/01; 4) MDQ -- 5,400; and 5) Type of Service -- Sales.</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DOMAC added a record for The Berkshire Gas Company as follows:  1) Rate Schedule -- FVSS; 2) Date of Initial Sale -- 7/1/00; 3) Scheduled Contract Termination -- 6/30/01; 4) MDQ -- 1,200; and 5) Type of Service -- Sales.</w:t>
      </w:r>
    </w:p>
    <w:p>
      <w:pPr>
        <w:pStyle w:val="Normal"/>
        <w:ind w:start="720" w:end="0"/>
        <w:jc w:val="both"/>
        <w:rPr>
          <w:rFonts w:ascii="Verdana" w:hAnsi="Verdana" w:cs="Verdana"/>
          <w:b/>
          <w:sz w:val="24"/>
        </w:rPr>
      </w:pPr>
      <w:r>
        <w:rPr>
          <w:rFonts w:cs="Verdana" w:ascii="Verdana" w:hAnsi="Verdana"/>
          <w:b/>
          <w:sz w:val="24"/>
        </w:rPr>
      </w:r>
    </w:p>
    <w:p>
      <w:pPr>
        <w:pStyle w:val="Normal"/>
        <w:ind w:start="720" w:end="0"/>
        <w:jc w:val="both"/>
        <w:rPr>
          <w:rFonts w:ascii="Verdana" w:hAnsi="Verdana" w:cs="Verdana"/>
          <w:b/>
          <w:sz w:val="24"/>
        </w:rPr>
      </w:pPr>
      <w:r>
        <w:rPr>
          <w:rFonts w:cs="Verdana" w:ascii="Verdana" w:hAnsi="Verdana"/>
          <w:b/>
          <w:sz w:val="24"/>
        </w:rPr>
        <w:t xml:space="preserve">c. Southern Natural Gas Company (Southern)  </w:t>
      </w:r>
    </w:p>
    <w:p>
      <w:pPr>
        <w:pStyle w:val="Heading6"/>
        <w:rPr/>
      </w:pPr>
      <w:r>
        <w:rPr/>
        <w:t xml:space="preserve">Docket No. RP00-633-000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On September 29, 2000, Southern filed Second Revised Sheet No. 191 to comply with Order No. 637 and the revised reporting requirements in Section 161.3(1)(2) of FERC's Regulations, which, effective September 1, 2000, require pipelines to identify operating personnel and facilities shared by the pipeline and any marketing affiliate on its Internet web site and update the information within three business days of any change.  Southern proposed to remove information from the tariff about operating facilities or operating personnel that Southern shares with any of its marketing affiliates, because that information is now available on Southern's Internet web site.  Southern stated it seeks to avoid confusion by making this information available in one place while still informing shippers in its tariff as to where the information is available.  Southern requested an effective date of November 1, 2000.</w:t>
      </w:r>
    </w:p>
    <w:p>
      <w:pPr>
        <w:pStyle w:val="Normal"/>
        <w:jc w:val="both"/>
        <w:rPr>
          <w:rFonts w:ascii="Verdana" w:hAnsi="Verdana" w:cs="Verdana"/>
          <w:sz w:val="24"/>
        </w:rPr>
      </w:pPr>
      <w:r>
        <w:rPr>
          <w:rFonts w:cs="Verdana" w:ascii="Verdana" w:hAnsi="Verdana"/>
          <w:sz w:val="24"/>
        </w:rPr>
      </w:r>
    </w:p>
    <w:p>
      <w:pPr>
        <w:pStyle w:val="Normal"/>
        <w:jc w:val="both"/>
        <w:rPr>
          <w:rFonts w:ascii="Verdana" w:hAnsi="Verdana" w:cs="Verdana"/>
          <w:b/>
          <w:sz w:val="24"/>
        </w:rPr>
      </w:pPr>
      <w:r>
        <w:rPr>
          <w:rFonts w:cs="Verdana" w:ascii="Verdana" w:hAnsi="Verdana"/>
          <w:b/>
          <w:sz w:val="24"/>
        </w:rPr>
      </w:r>
    </w:p>
    <w:p>
      <w:pPr>
        <w:pStyle w:val="Heading2"/>
        <w:ind w:hanging="0" w:start="0"/>
        <w:rPr/>
      </w:pPr>
      <w:r>
        <w:rPr/>
        <w:t>4. Other Filings</w:t>
      </w:r>
    </w:p>
    <w:p>
      <w:pPr>
        <w:pStyle w:val="Normal"/>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a. Michigan Gas Storage Company (MGSCo)</w:t>
      </w:r>
    </w:p>
    <w:p>
      <w:pPr>
        <w:pStyle w:val="Heading6"/>
        <w:rPr/>
      </w:pPr>
      <w:r>
        <w:rPr/>
        <w:t>Docket No. RP01-29-000</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October 6, 2000, FERC noticed MGSCo’s filing in compliance with the Commission’s September 28, 2000 order in Docket No. RM96-1-016.  The order stated that pipelines seeking an exemption from the imbalance trade requirement are to show why they should not be required to implement imbalance trading.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MGSCo stated that it has already addressed the question of the need for imbalance trading on its system as part of its July 17, 2000 compliance filing for Order Nos. 637 and 637-A.  Further, MGSCo confirmed that it does not keep track of shipper imbalances, has arrangements to take care of imbalances through an OBA, does not assess imbalance penalties and has filed to remove any language from its tariffs, which might allow it to assess such penalties.  MGSCo concluded hat under Orders 637 and 637-A, it should not be required to implement imbalance trading on its system.</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b/>
          <w:sz w:val="24"/>
        </w:rPr>
      </w:pPr>
      <w:r>
        <w:rPr>
          <w:rFonts w:cs="Verdana" w:ascii="Verdana" w:hAnsi="Verdana"/>
          <w:b/>
          <w:sz w:val="24"/>
        </w:rPr>
        <w:t>b. Reliant Energy Gas Transmission Company (REGT)</w:t>
      </w:r>
    </w:p>
    <w:p>
      <w:pPr>
        <w:pStyle w:val="Normal"/>
        <w:ind w:firstLine="360" w:start="720" w:end="0"/>
        <w:jc w:val="both"/>
        <w:rPr>
          <w:rFonts w:ascii="Verdana" w:hAnsi="Verdana" w:cs="Verdana"/>
          <w:sz w:val="24"/>
        </w:rPr>
      </w:pPr>
      <w:r>
        <w:rPr>
          <w:rFonts w:cs="Verdana" w:ascii="Verdana" w:hAnsi="Verdana"/>
          <w:sz w:val="24"/>
        </w:rPr>
        <w:t xml:space="preserve">Docket No. RP00-571-000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On September 26, 2000, REGT submitted pro forma tariff sheets in order to obtain approval to adopt a flexible nomination process under REGT's tariff that will give all shippers the option to submit receipt and delivery nominations to be effective at the top of any hour with at least 60 minutes notice prior to the proposed effective time.  REGT stated that it is submitting pro forma sheets for FERC's review because of the innovative and integrated nature of its proposal.  REGT said it will file the tariff sheets in a form suitable for inclusion in REGT's FERC Gas Tariff, Fifth Revised Volume No. 1, upon acceptance by FERC.  </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 xml:space="preserve">REGT stated that this proposal is being made because it promotes goals set forth by Order No. 637, furthers the objective of greater integration between the natural gas and electric generation industries, and advances e-commerce opportunities to exchange business information. REGT asserted that the intended purpose of the proposed changes is to enhance REGT's services and provide its shippers with additional flexibility to meet their transportation needs and an additional tool to manage transportation imbalances.  Additionally, REGT said that these proposed changes do not affect REGT's existing rates, and REGT does not anticipate a significant increase in costs resulting from the implementation of this added flexibility. </w:t>
      </w:r>
    </w:p>
    <w:p>
      <w:pPr>
        <w:pStyle w:val="Normal"/>
        <w:ind w:start="720" w:end="0"/>
        <w:jc w:val="both"/>
        <w:rPr>
          <w:rFonts w:ascii="Verdana" w:hAnsi="Verdana" w:cs="Verdana"/>
          <w:sz w:val="24"/>
        </w:rPr>
      </w:pPr>
      <w:r>
        <w:rPr>
          <w:rFonts w:cs="Verdana" w:ascii="Verdana" w:hAnsi="Verdana"/>
          <w:sz w:val="24"/>
        </w:rPr>
      </w:r>
    </w:p>
    <w:p>
      <w:pPr>
        <w:pStyle w:val="BodyText"/>
        <w:ind w:start="720" w:end="0"/>
        <w:rPr/>
      </w:pPr>
      <w:r>
        <w:rPr/>
        <w:t>REGT outlined certain specifics of this proposal in its transmittal letter.  First, REGT said it will post scheduled quantities on its Internet web site prior to the flow of gas.  Second, REGT stated that in order to give firm shippers the greatest benefit from the flexible nomination procedures, if a nomination by a shipper under Rate Schedule FT can only be scheduled by bumping interruptible service, REGT proposes to allow service under Rate Schedule FT to bump interruptible service consistent with the proposed enhanced nominations cycles, rather than only at the current intraday bumping opportunities.  REGT said that interruptible shippers who are bumped will have the same nomination opportunities as any other shipper.  REGT indicated that it will provide bumped shippers notice as soon as practicable using REGT's Internet web site but no later than 60 minutes prior to bumping.  Third, REGT stated its flexible nomination procedures will be available to all services requiring nominations under REGT's Tariff.</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REGT asserted that it also is updating, simplifying, and making housekeeping revisions to the nominations provisions in Section 5 of the General Terms and Conditions of its tariff.  REGT stated it is proposing that notifications regarding scheduled quantities may be made electronically via the Internet.  Additionally, REGT proposed to remove the different categories of nominations currently in its tariff.</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REGT noted that this proposal is consistent with the goals set forth in certain GISB Standards, such as GISB Standard 1.3.4, which requires support of a seven-days-a-week, twenty-four hour nominations process.  Further, REGT asserted that this GISB Standards adopted by FERC are minimum standards which pipelines are permitted to exceed with their service offerings.  REGT said that in order to effectuate REGT's flexible nomination proposal, it is necessary to remove the GISB nomination timelines and cycles which would require REGT to delay scheduling certain nominations in order to adhere to the less flexible GISB Standards.  Accordingly, REGT requested waivers of GISB Standards inconsistent with the increased nomination flexibility proposed (the four nomination cycles), the GISB Standards establishing the concept of Intraday Nominations, and the standards which prohibit bumping of interruptible shippers during most of the gas flow day.  Specifically, these GISB Standards include 1.1.19, 1.2.4, 1.3.2, 1.3.8, 1.3.9, 1.3.14, 1.3.21, 1.3.39, 1.3.41, and 2.3.15.  REGT asserted that good cause exists for FERC to grant any waivers necessary to implement REGT's innovative and flexible proposal.</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REGT stated that its filing does not include the cash-out procedures that REGT proposed in Docket No. RP00-482 filed in compliance with Order No. 637.  REGT said that once it is approved by FERC, REGT will incorporate and apply this mechanism.</w:t>
      </w:r>
    </w:p>
    <w:p>
      <w:pPr>
        <w:pStyle w:val="Normal"/>
        <w:ind w:start="720" w:end="0"/>
        <w:jc w:val="both"/>
        <w:rPr>
          <w:rFonts w:ascii="Verdana" w:hAnsi="Verdana" w:cs="Verdana"/>
          <w:sz w:val="24"/>
        </w:rPr>
      </w:pPr>
      <w:r>
        <w:rPr>
          <w:rFonts w:cs="Verdana" w:ascii="Verdana" w:hAnsi="Verdana"/>
          <w:sz w:val="24"/>
        </w:rPr>
      </w:r>
    </w:p>
    <w:p>
      <w:pPr>
        <w:pStyle w:val="Normal"/>
        <w:ind w:start="720" w:end="0"/>
        <w:jc w:val="both"/>
        <w:rPr>
          <w:rFonts w:ascii="Verdana" w:hAnsi="Verdana" w:cs="Verdana"/>
          <w:sz w:val="24"/>
        </w:rPr>
      </w:pPr>
      <w:r>
        <w:rPr>
          <w:rFonts w:cs="Verdana" w:ascii="Verdana" w:hAnsi="Verdana"/>
          <w:sz w:val="24"/>
        </w:rPr>
        <w:t>REGT proposed an effective date of November 1, 2000 for this filing</w:t>
      </w:r>
    </w:p>
    <w:p>
      <w:pPr>
        <w:pStyle w:val="Normal"/>
        <w:ind w:start="720" w:end="0"/>
        <w:jc w:val="both"/>
        <w:rPr>
          <w:rFonts w:ascii="Verdana" w:hAnsi="Verdana" w:cs="Verdana"/>
          <w:sz w:val="24"/>
        </w:rPr>
      </w:pPr>
      <w:r>
        <w:rPr>
          <w:rFonts w:cs="Verdana" w:ascii="Verdana" w:hAnsi="Verdana"/>
          <w:sz w:val="24"/>
        </w:rPr>
      </w:r>
    </w:p>
    <w:sectPr>
      <w:headerReference w:type="default" r:id="rId3"/>
      <w:headerReference w:type="first" r:id="rId4"/>
      <w:footerReference w:type="default" r:id="rId5"/>
      <w:footerReference w:type="first" r:id="rId6"/>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b/>
        <w:i/>
      </w:rPr>
      <w:t>© 2000 BTU Watch, Inc.</w: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b/>
        <w:i/>
      </w:rPr>
      <w:t>© 2000 BTU Watch, 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sz w:val="20"/>
      </w:rPr>
    </w:pPr>
    <w:r>
      <w:rPr>
        <w:b/>
        <w:sz w:val="20"/>
      </w:rPr>
      <w:t>637 Watch</w:t>
    </w:r>
  </w:p>
  <w:p>
    <w:pPr>
      <w:pStyle w:val="Heading4"/>
      <w:ind w:hanging="0" w:start="0"/>
      <w:rPr/>
    </w:pPr>
    <w:r>
      <w:rPr/>
      <w:t>Volume 1, Number 17</w:t>
    </w:r>
  </w:p>
  <w:p>
    <w:pPr>
      <w:pStyle w:val="Heading3"/>
      <w:ind w:hanging="0" w:start="0"/>
      <w:rPr>
        <w:b/>
        <w:sz w:val="20"/>
      </w:rPr>
    </w:pPr>
    <w:r>
      <w:rPr>
        <w:b/>
        <w:sz w:val="20"/>
      </w:rPr>
      <w:t>October 12, 2000</w:t>
    </w:r>
  </w:p>
  <w:p>
    <w:pPr>
      <w:pStyle w:val="Header"/>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Verdana" w:hAnsi="Verdana" w:cs="Verdana"/>
      <w:sz w:val="24"/>
    </w:rPr>
  </w:style>
  <w:style w:type="paragraph" w:styleId="Heading2">
    <w:name w:val="heading 2"/>
    <w:basedOn w:val="Normal"/>
    <w:next w:val="Normal"/>
    <w:qFormat/>
    <w:pPr>
      <w:keepNext w:val="true"/>
      <w:numPr>
        <w:ilvl w:val="1"/>
        <w:numId w:val="1"/>
      </w:numPr>
      <w:jc w:val="both"/>
      <w:outlineLvl w:val="1"/>
    </w:pPr>
    <w:rPr>
      <w:rFonts w:ascii="Verdana" w:hAnsi="Verdana" w:cs="Verdana"/>
      <w:b/>
      <w:sz w:val="24"/>
    </w:rPr>
  </w:style>
  <w:style w:type="paragraph" w:styleId="Heading3">
    <w:name w:val="heading 3"/>
    <w:basedOn w:val="Normal"/>
    <w:next w:val="Normal"/>
    <w:qFormat/>
    <w:pPr>
      <w:keepNext w:val="true"/>
      <w:numPr>
        <w:ilvl w:val="2"/>
        <w:numId w:val="1"/>
      </w:numPr>
      <w:outlineLvl w:val="2"/>
    </w:pPr>
    <w:rPr>
      <w:rFonts w:ascii="Verdana" w:hAnsi="Verdana" w:cs="Verdana"/>
      <w:sz w:val="24"/>
    </w:rPr>
  </w:style>
  <w:style w:type="paragraph" w:styleId="Heading4">
    <w:name w:val="heading 4"/>
    <w:basedOn w:val="Normal"/>
    <w:next w:val="Normal"/>
    <w:qFormat/>
    <w:pPr>
      <w:keepNext w:val="true"/>
      <w:numPr>
        <w:ilvl w:val="3"/>
        <w:numId w:val="1"/>
      </w:numPr>
      <w:outlineLvl w:val="3"/>
    </w:pPr>
    <w:rPr>
      <w:rFonts w:ascii="Verdana" w:hAnsi="Verdana" w:cs="Verdana"/>
      <w:b/>
    </w:rPr>
  </w:style>
  <w:style w:type="paragraph" w:styleId="Heading5">
    <w:name w:val="heading 5"/>
    <w:basedOn w:val="Normal"/>
    <w:next w:val="Normal"/>
    <w:qFormat/>
    <w:pPr>
      <w:keepNext w:val="true"/>
      <w:numPr>
        <w:ilvl w:val="4"/>
        <w:numId w:val="1"/>
      </w:numPr>
      <w:jc w:val="center"/>
      <w:outlineLvl w:val="4"/>
    </w:pPr>
    <w:rPr>
      <w:rFonts w:ascii="Verdana" w:hAnsi="Verdana" w:cs="Verdana"/>
      <w:b/>
      <w:sz w:val="22"/>
    </w:rPr>
  </w:style>
  <w:style w:type="paragraph" w:styleId="Heading6">
    <w:name w:val="heading 6"/>
    <w:basedOn w:val="Normal"/>
    <w:next w:val="Normal"/>
    <w:qFormat/>
    <w:pPr>
      <w:keepNext w:val="true"/>
      <w:numPr>
        <w:ilvl w:val="5"/>
        <w:numId w:val="1"/>
      </w:numPr>
      <w:ind w:firstLine="360" w:start="720" w:end="0"/>
      <w:jc w:val="both"/>
      <w:outlineLvl w:val="5"/>
    </w:pPr>
    <w:rPr>
      <w:rFonts w:ascii="Verdana" w:hAnsi="Verdana" w:cs="Verdana"/>
      <w:sz w:val="24"/>
    </w:rPr>
  </w:style>
  <w:style w:type="paragraph" w:styleId="Heading7">
    <w:name w:val="heading 7"/>
    <w:basedOn w:val="Normal"/>
    <w:next w:val="Normal"/>
    <w:qFormat/>
    <w:pPr>
      <w:keepNext w:val="true"/>
      <w:numPr>
        <w:ilvl w:val="6"/>
        <w:numId w:val="1"/>
      </w:numPr>
      <w:ind w:firstLine="270" w:start="720" w:end="0"/>
      <w:jc w:val="both"/>
      <w:outlineLvl w:val="6"/>
    </w:pPr>
    <w:rPr>
      <w:rFonts w:ascii="Verdana" w:hAnsi="Verdana" w:cs="Verdana"/>
      <w:sz w:val="24"/>
    </w:rPr>
  </w:style>
  <w:style w:type="paragraph" w:styleId="Heading8">
    <w:name w:val="heading 8"/>
    <w:basedOn w:val="Normal"/>
    <w:next w:val="Normal"/>
    <w:qFormat/>
    <w:pPr>
      <w:keepNext w:val="true"/>
      <w:numPr>
        <w:ilvl w:val="7"/>
        <w:numId w:val="1"/>
      </w:numPr>
      <w:ind w:firstLine="450" w:start="720" w:end="0"/>
      <w:jc w:val="both"/>
      <w:outlineLvl w:val="7"/>
    </w:pPr>
    <w:rPr>
      <w:rFonts w:ascii="Verdana" w:hAnsi="Verdana" w:cs="Verdana"/>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Verdana" w:hAnsi="Verdana" w:cs="Verdan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Verdana" w:hAnsi="Verdana" w:cs="Verdana"/>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2000-10-13T18:13:00Z</dcterms:created>
  <dc:creator>Diane T.Tom</dc:creator>
  <dc:description/>
  <dc:language>en-CA</dc:language>
  <cp:lastModifiedBy>Janet Butler</cp:lastModifiedBy>
  <cp:lastPrinted>2000-10-13T15:38:00Z</cp:lastPrinted>
  <dcterms:modified xsi:type="dcterms:W3CDTF">2000-10-13T18:13:00Z</dcterms:modified>
  <cp:revision>2</cp:revision>
  <dc:subject/>
  <dc:title>Algonquin Gas Transmission Company </dc:title>
</cp:coreProperties>
</file>