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CTitle"/>
        <w:rPr/>
      </w:pPr>
      <w:r>
        <w:rPr/>
        <w:t>SULLIVAN &amp; CROMWELL</w:t>
      </w:r>
    </w:p>
    <w:p>
      <w:pPr>
        <w:pStyle w:val="BodyTextLA"/>
        <w:spacing w:before="0" w:after="0"/>
        <w:rPr/>
      </w:pPr>
      <w:r>
        <w:rPr/>
      </w:r>
    </w:p>
    <w:p>
      <w:pPr>
        <w:pStyle w:val="BodyTextLA"/>
        <w:spacing w:before="600" w:after="0"/>
        <w:rPr/>
      </w:pPr>
      <w:r>
        <w:rPr/>
        <w:tab/>
        <w:tab/>
        <w:tab/>
        <w:tab/>
        <w:tab/>
        <w:tab/>
        <w:tab/>
        <w:tab/>
        <w:t>August __, 2000</w:t>
      </w:r>
    </w:p>
    <w:p>
      <w:pPr>
        <w:pStyle w:val="Normal"/>
        <w:rPr/>
      </w:pPr>
      <w:r>
        <w:rPr/>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538"/>
        <w:gridCol w:w="450"/>
        <w:gridCol w:w="5868"/>
      </w:tblGrid>
      <w:tr>
        <w:trPr/>
        <w:tc>
          <w:tcPr>
            <w:tcW w:w="2538" w:type="dxa"/>
            <w:tcBorders/>
          </w:tcPr>
          <w:p>
            <w:pPr>
              <w:pStyle w:val="Normal"/>
              <w:jc w:val="end"/>
              <w:rPr/>
            </w:pPr>
            <w:r>
              <w:rPr/>
              <w:t>MEMORANDUM TO:</w:t>
            </w:r>
          </w:p>
        </w:tc>
        <w:tc>
          <w:tcPr>
            <w:tcW w:w="450" w:type="dxa"/>
            <w:tcBorders/>
          </w:tcPr>
          <w:p>
            <w:pPr>
              <w:pStyle w:val="Normal"/>
              <w:snapToGrid w:val="false"/>
              <w:rPr/>
            </w:pPr>
            <w:r>
              <w:rPr/>
            </w:r>
          </w:p>
        </w:tc>
        <w:tc>
          <w:tcPr>
            <w:tcW w:w="5868" w:type="dxa"/>
            <w:tcBorders/>
          </w:tcPr>
          <w:p>
            <w:pPr>
              <w:pStyle w:val="Normal"/>
              <w:rPr/>
            </w:pPr>
            <w:r>
              <w:rPr/>
              <w:t>Jon Barrett</w:t>
            </w:r>
          </w:p>
          <w:p>
            <w:pPr>
              <w:pStyle w:val="Normal"/>
              <w:rPr/>
            </w:pPr>
            <w:r>
              <w:rPr/>
              <w:t>(Metallgesellschaft, Ltd.)</w:t>
            </w:r>
          </w:p>
          <w:p>
            <w:pPr>
              <w:pStyle w:val="Normal"/>
              <w:rPr/>
            </w:pPr>
            <w:r>
              <w:rPr/>
            </w:r>
          </w:p>
        </w:tc>
      </w:tr>
      <w:tr>
        <w:trPr/>
        <w:tc>
          <w:tcPr>
            <w:tcW w:w="2538" w:type="dxa"/>
            <w:tcBorders/>
          </w:tcPr>
          <w:p>
            <w:pPr>
              <w:pStyle w:val="Normal"/>
              <w:jc w:val="end"/>
              <w:rPr/>
            </w:pPr>
            <w:r>
              <w:rPr/>
              <w:t>FROM:</w:t>
            </w:r>
          </w:p>
        </w:tc>
        <w:tc>
          <w:tcPr>
            <w:tcW w:w="450" w:type="dxa"/>
            <w:tcBorders/>
          </w:tcPr>
          <w:p>
            <w:pPr>
              <w:pStyle w:val="Normal"/>
              <w:snapToGrid w:val="false"/>
              <w:rPr/>
            </w:pPr>
            <w:r>
              <w:rPr/>
            </w:r>
          </w:p>
        </w:tc>
        <w:tc>
          <w:tcPr>
            <w:tcW w:w="5868" w:type="dxa"/>
            <w:tcBorders/>
          </w:tcPr>
          <w:p>
            <w:pPr>
              <w:pStyle w:val="Normal"/>
              <w:rPr/>
            </w:pPr>
            <w:r>
              <w:rPr/>
              <w:t>David J. Gilberg</w:t>
            </w:r>
          </w:p>
          <w:p>
            <w:pPr>
              <w:pStyle w:val="Normal"/>
              <w:rPr/>
            </w:pPr>
            <w:r>
              <w:rPr/>
            </w:r>
          </w:p>
        </w:tc>
      </w:tr>
      <w:tr>
        <w:trPr/>
        <w:tc>
          <w:tcPr>
            <w:tcW w:w="2538" w:type="dxa"/>
            <w:tcBorders/>
          </w:tcPr>
          <w:p>
            <w:pPr>
              <w:pStyle w:val="Normal"/>
              <w:jc w:val="end"/>
              <w:rPr/>
            </w:pPr>
            <w:r>
              <w:rPr/>
              <w:t>RE:</w:t>
            </w:r>
          </w:p>
        </w:tc>
        <w:tc>
          <w:tcPr>
            <w:tcW w:w="450" w:type="dxa"/>
            <w:tcBorders/>
          </w:tcPr>
          <w:p>
            <w:pPr>
              <w:pStyle w:val="Normal"/>
              <w:snapToGrid w:val="false"/>
              <w:rPr/>
            </w:pPr>
            <w:r>
              <w:rPr/>
            </w:r>
          </w:p>
        </w:tc>
        <w:tc>
          <w:tcPr>
            <w:tcW w:w="5868" w:type="dxa"/>
            <w:tcBorders/>
          </w:tcPr>
          <w:p>
            <w:pPr>
              <w:pStyle w:val="Normal"/>
              <w:rPr>
                <w:u w:val="single"/>
              </w:rPr>
            </w:pPr>
            <w:r>
              <w:rPr>
                <w:u w:val="single"/>
              </w:rPr>
              <w:t>FX Trading with U.S. Counterparties</w:t>
            </w:r>
          </w:p>
          <w:p>
            <w:pPr>
              <w:pStyle w:val="Normal"/>
              <w:rPr>
                <w:u w:val="single"/>
              </w:rPr>
            </w:pPr>
            <w:r>
              <w:rPr>
                <w:u w:val="single"/>
              </w:rPr>
            </w:r>
          </w:p>
        </w:tc>
      </w:tr>
    </w:tbl>
    <w:p>
      <w:pPr>
        <w:pStyle w:val="Normal"/>
        <w:rPr/>
      </w:pPr>
      <w:r>
        <w:rPr/>
      </w:r>
    </w:p>
    <w:p>
      <w:pPr>
        <w:pStyle w:val="Normal"/>
        <w:spacing w:lineRule="auto" w:line="480"/>
        <w:rPr/>
      </w:pPr>
      <w:r>
        <w:rPr/>
        <w:tab/>
        <w:tab/>
        <w:t>This memorandum addresses the questions you have raised regarding the legal and regulatory status under U.S. law of the trading of foreign currency products by a U.S. entity with U.S. and non-U.S. counterparties.  We understand that the U.S. entity that is expected to conduct this business is registered with the Commodity Futures Trading Commission (“CFTC”) as a futures commission merchant (“FCM”), although it is possible that the business will be conducted through an unregulated affiliate of the FCM (the “Dealer”).  The FCM or the Dealer will enter into spot, forward and option transactions on currencies (“FX Transactions”) with a variety of counterparties, which will consist primarily of banks, broker-dealers, various types of funds, corporations and high net worth individuals.  In addition, the FCM or the Dealer will enter into “exchange of futures for physicals” transactions, or “EFPs”, on currencies with such counterparties.</w:t>
      </w:r>
    </w:p>
    <w:p>
      <w:pPr>
        <w:pStyle w:val="BodyText5LA"/>
        <w:tabs>
          <w:tab w:val="clear" w:pos="720"/>
          <w:tab w:val="left" w:pos="1440" w:leader="none"/>
        </w:tabs>
        <w:spacing w:lineRule="auto" w:line="480" w:before="0" w:after="0"/>
        <w:rPr/>
      </w:pPr>
      <w:r>
        <w:rPr/>
        <w:tab/>
        <w:t>In general, FX Transactions are not subject to substantive regulation under U.S. law.  Neither currencies nor spot, forward or over-the-counter option contracts on currencies</w:t>
      </w:r>
      <w:r>
        <w:rPr>
          <w:rStyle w:val="FootnoteCharacters"/>
          <w:rStyle w:val="FootnoteReference"/>
          <w:rFonts w:eastAsia="Symbol" w:cs="Symbol" w:ascii="Symbol" w:hAnsi="Symbol"/>
        </w:rPr>
        <w:footnoteReference w:customMarkFollows="1" w:id="2"/>
        <w:t></w:t>
      </w:r>
      <w:r>
        <w:rPr/>
        <w:t xml:space="preserve"> are considered securities for purposes of federal or state securities laws and such laws therefore should not be applicable to the proposed business.  The banking regulators impose certain requirements and limitations on banks entering into FX Transactions.  However, an entity is not required to become licensed as a bank in order to enter into such Transactions and non-banks do not become subject to the banking laws or the jurisdiction of the banking regulators by virtue of their entering into FX Transactions.  Accordingly, neither the securities laws nor the banking laws should be applicable to the FCM or the Dealer, or to the proposed business activities.</w:t>
      </w:r>
    </w:p>
    <w:p>
      <w:pPr>
        <w:pStyle w:val="BodyText5LA"/>
        <w:tabs>
          <w:tab w:val="clear" w:pos="720"/>
          <w:tab w:val="left" w:pos="1440" w:leader="none"/>
        </w:tabs>
        <w:spacing w:lineRule="auto" w:line="480" w:before="0" w:after="0"/>
        <w:rPr/>
      </w:pPr>
      <w:r>
        <w:rPr/>
        <w:tab/>
        <w:t>The principal focus of the Commodity Exchange (“CEA”) and the regulatory scheme administered by the CFTC is the regulation of exchange-traded futures and options on futures and, in general, FX Transactions are not subject to regulation under the CEA.  As a result, persons engaged in the execution or clearance of transactions in exchange-traded currency futures generally must be registered as futures commission merchants (if they handle customer margin) or as introducing brokers (if they do not handle customer margin and simply forward all orders, funds and securities received from customers to a futures commission merchant).  Accordingly, because the completion of an EFP involves the execution of a futures transaction, as discussed more fully below, it could be necessary to conduct at least this portion of the proposed business through the FCM.  Conversely, persons engaged solely in the business of effecting FX Transactions in the interbank or other over-the-counter market, generally are not subject to registration with the CFTC, although there is no prohibition on registered futures commission merchants or introducing brokers engaging in this business.</w:t>
      </w:r>
    </w:p>
    <w:p>
      <w:pPr>
        <w:pStyle w:val="BodyText5LA"/>
        <w:tabs>
          <w:tab w:val="clear" w:pos="720"/>
          <w:tab w:val="left" w:pos="1440" w:leader="none"/>
        </w:tabs>
        <w:spacing w:lineRule="auto" w:line="480" w:before="0" w:after="0"/>
        <w:rPr/>
      </w:pPr>
      <w:r>
        <w:rPr/>
        <w:tab/>
        <w:t xml:space="preserve">Although the CEA and the CFTC do not actively regulate over-the-counter FX Transactions, the CEA prohibits off-exchange transactions in futures contracts or commodity options in or from the United States, unless an exemption or exclusion from the prohibition is available.  CEA, §§4(a), 4c(b).  This prohibition could encompass many types of off-exchange FX Transactions.  Specifically, while the term “futures contract” has never been clearly defined, the CFTC and the courts have historically taken the position, in connection with FX Transactions, that any transaction resulting in a net cash settlement in one of the underlying currencies, rather than by delivery of each of the currencies, is presumptively considered a futures contract.  </w:t>
      </w:r>
      <w:r>
        <w:rPr>
          <w:u w:val="single"/>
        </w:rPr>
        <w:t>See</w:t>
      </w:r>
      <w:r>
        <w:rPr/>
        <w:t xml:space="preserve"> </w:t>
      </w:r>
      <w:r>
        <w:rPr>
          <w:u w:val="single"/>
        </w:rPr>
        <w:t>e.g.</w:t>
      </w:r>
      <w:r>
        <w:rPr/>
        <w:t xml:space="preserve">, </w:t>
      </w:r>
      <w:r>
        <w:rPr>
          <w:u w:val="single"/>
        </w:rPr>
        <w:t>Trading in Foreign Currencies for Future Delivery</w:t>
      </w:r>
      <w:r>
        <w:rPr/>
        <w:t xml:space="preserve">, 50 Fed. Reg. 42,983 (Oct. 23, 1985).  To the extent that a transaction is within this prohibition, and no exemption or exclusion is available, the transaction may be found to be void and unenforceable.  We also note that the prohibition on off-exchange futures trading applies to any transactions entered into in or from the U.S.  Therefore, if the FCM or the Dealer is conducting business from the United States, all FX Transactions that they enter into, regardless of where the counterparties are located, are potentially subject to the prohibition.  </w:t>
      </w:r>
    </w:p>
    <w:p>
      <w:pPr>
        <w:pStyle w:val="Normal"/>
        <w:spacing w:lineRule="auto" w:line="480"/>
        <w:rPr/>
      </w:pPr>
      <w:r>
        <w:rPr/>
        <w:tab/>
        <w:tab/>
        <w:t>Section 2(a)(1)(A)(ii) of the CEA, however, a provision commonly referred to as the “Treasury Amendment”, states that “[n]othing in this Act shall be deemed to govern or in any way be applicable to transactions in foreign currency . . . unless such transactions involve the sale thereof for future delivery conducted on a board of trade”.  Transactions covered by the Treasury Amendment, therefore, are excluded from all provisions of the CEA, including the off-exchange trading prohibition and all registration and regulatory requirements.</w:t>
      </w:r>
    </w:p>
    <w:p>
      <w:pPr>
        <w:pStyle w:val="Normal"/>
        <w:spacing w:lineRule="auto" w:line="480"/>
        <w:rPr/>
      </w:pPr>
      <w:r>
        <w:rPr/>
        <w:tab/>
        <w:tab/>
        <w:t xml:space="preserve">There has been significant dispute among the courts as to the scope of permissible participants in transactions entered into pursuant to the Treasury Amendment.  The Ninth Circuit Court of Appeals has held that the Treasury Amendment excludes from the CEA </w:t>
      </w:r>
      <w:r>
        <w:rPr>
          <w:u w:val="single"/>
        </w:rPr>
        <w:t>all</w:t>
      </w:r>
      <w:r>
        <w:rPr/>
        <w:t xml:space="preserve"> off-exchange FX transactions, regardless of the nature of the parties.  </w:t>
      </w:r>
      <w:r>
        <w:rPr>
          <w:u w:val="single"/>
        </w:rPr>
        <w:t>CFTC</w:t>
      </w:r>
      <w:r>
        <w:rPr/>
        <w:t xml:space="preserve"> v. </w:t>
      </w:r>
      <w:r>
        <w:rPr>
          <w:u w:val="single"/>
        </w:rPr>
        <w:t>Frankwell Bullion Limited</w:t>
      </w:r>
      <w:r>
        <w:rPr/>
        <w:t>, 99 F.3d 299 (9</w:t>
      </w:r>
      <w:r>
        <w:rPr>
          <w:vertAlign w:val="superscript"/>
        </w:rPr>
        <w:t>th</w:t>
      </w:r>
      <w:r>
        <w:rPr/>
        <w:t xml:space="preserve"> Cir. 1996).  Other courts, however, have held that the Treasury Amendment excludes from the CEA only those transactions entered into between institutional counterparties.  </w:t>
      </w:r>
      <w:r>
        <w:rPr>
          <w:u w:val="single"/>
        </w:rPr>
        <w:t>See</w:t>
      </w:r>
      <w:r>
        <w:rPr/>
        <w:t xml:space="preserve"> </w:t>
      </w:r>
      <w:r>
        <w:rPr>
          <w:u w:val="single"/>
        </w:rPr>
        <w:t>e.g.</w:t>
      </w:r>
      <w:r>
        <w:rPr/>
        <w:t xml:space="preserve">, </w:t>
      </w:r>
      <w:r>
        <w:rPr>
          <w:u w:val="single"/>
        </w:rPr>
        <w:t xml:space="preserve">Salomon Forex, </w:t>
      </w:r>
      <w:r>
        <w:rPr/>
        <w:t xml:space="preserve">Inc. v. </w:t>
      </w:r>
      <w:r>
        <w:rPr>
          <w:u w:val="single"/>
        </w:rPr>
        <w:t>Tauber</w:t>
      </w:r>
      <w:r>
        <w:rPr/>
        <w:t>, 8 F.3d 966 (4</w:t>
      </w:r>
      <w:r>
        <w:rPr>
          <w:vertAlign w:val="superscript"/>
        </w:rPr>
        <w:t>th</w:t>
      </w:r>
      <w:r>
        <w:rPr/>
        <w:t xml:space="preserve"> Cir. 1993); </w:t>
      </w:r>
      <w:r>
        <w:rPr>
          <w:u w:val="single"/>
        </w:rPr>
        <w:t>cert.</w:t>
      </w:r>
      <w:r>
        <w:rPr/>
        <w:t xml:space="preserve"> </w:t>
      </w:r>
      <w:r>
        <w:rPr>
          <w:u w:val="single"/>
        </w:rPr>
        <w:t>denied</w:t>
      </w:r>
      <w:r>
        <w:rPr/>
        <w:t xml:space="preserve">, 128 L. Ed. 2d 192 (1994).  In addition, one court has recently held that the Treasury Amendment covers only those transactions entered into between banks.  </w:t>
      </w:r>
      <w:r>
        <w:rPr>
          <w:u w:val="single"/>
        </w:rPr>
        <w:t>Rosner</w:t>
      </w:r>
      <w:r>
        <w:rPr/>
        <w:t xml:space="preserve"> v. </w:t>
      </w:r>
      <w:r>
        <w:rPr>
          <w:u w:val="single"/>
        </w:rPr>
        <w:t>Korbean International Investment Corp.</w:t>
      </w:r>
      <w:r>
        <w:rPr/>
        <w:t xml:space="preserve">, [1996-98 Transfer Binder] Comm. Fut. L. Rep. (CCH) ¶27,343 (S.D.N.Y. 1998).  It should also be noted that there has in the past been a question as to whether foreign currency options are excluded from the CEA under the Treasury Amendment.  That issue, however, was resolved by the U.S. Supreme Court in </w:t>
      </w:r>
      <w:r>
        <w:rPr>
          <w:u w:val="single"/>
        </w:rPr>
        <w:t xml:space="preserve">Dunn </w:t>
      </w:r>
      <w:r>
        <w:rPr/>
        <w:t xml:space="preserve">v. </w:t>
      </w:r>
      <w:r>
        <w:rPr>
          <w:u w:val="single"/>
        </w:rPr>
        <w:t>CFTC</w:t>
      </w:r>
      <w:r>
        <w:rPr/>
        <w:t>, 519 U.S. 465 (1997), in which the Supreme Court held that FX options, as well as spot and forward (or off-exchange futures) transactions, are excluded from the CEA under the Treasury Amendment.</w:t>
      </w:r>
    </w:p>
    <w:p>
      <w:pPr>
        <w:pStyle w:val="Normal"/>
        <w:spacing w:lineRule="auto" w:line="480"/>
        <w:rPr/>
      </w:pPr>
      <w:r>
        <w:rPr/>
        <w:tab/>
        <w:tab/>
        <w:t>Despite these inconsistencies in the case law, the Treasury Amendment should be construed to cover, and to exclude from the CEA, transactions between institutional participants.  This should include banks, broker-dealers and large corporations.  The status of funds is less clear and it may be necessary to distinguish further among different types of funds.  In this regard, the staff of the CFTC has issued a no-action letter stating that no action would be recommended in connection with the offer and sale of interests in a fund that would engage in FX transactions and would be offered only to “qualified institutional buyers”, as defined under Securities and Exchange Commission (“SEC”) Rule 144A.  CFTC Letter No. 91-1, May 30, 1991.  In addition, the staff stated in that letter that it “did not intend to suggest that only persons or entities which meet the definition of ‘qualified institutional investor’ under SEC Rule 144A may engage in transactions of the type proposed to be entered into by the Fund”.  Accordingly, the staff appears to have contemplated the possibility that funds comprised of other types of investors would be covered by the Treasury Amendment, although neither the staff nor the CFTC has ever resolved the question of the types of permissible investors in such funds.  Notwithstanding these uncertainties, we understand that most FX dealers will generally enter into off-exchange FX Transactions with a variety of commercial and institutional counterparties, including funds, based on the position that the funds are considered institutions and are managed by professional advisors.</w:t>
      </w:r>
    </w:p>
    <w:p>
      <w:pPr>
        <w:pStyle w:val="BodyText5LA"/>
        <w:tabs>
          <w:tab w:val="clear" w:pos="720"/>
          <w:tab w:val="left" w:pos="1440" w:leader="none"/>
        </w:tabs>
        <w:spacing w:lineRule="auto" w:line="480" w:before="0" w:after="0"/>
        <w:rPr/>
      </w:pPr>
      <w:r>
        <w:rPr/>
        <w:tab/>
        <w:t>Moreover, the CFTC has adopted rules exempting from the off-exchange trading prohibition certain “swap agreements” entered into between “eligible swap participants” or “ESPs”.  CFTC Rules §35.1.  It is not clear that this exemption is applicable to all FX Transactions (although it does clearly cover currency options).  However, because the CFTC has expressed the view that ESPs are generally sophisticated entities that are not in need of the protections of the CEA when trading in off-exchange markets, we understand that many dealers in the currency market have looked to the definition of an ESP in determining the types of counterparties with which they are willing to enter into FX Transactions pursuant to the Treasury Amendment.  Although the CFTC has never addressed reliance on the ESP definition for this purpose, we believe that it represents a reasonable basis for the development of eligibility standards for counterparties to FX Transactions executed in reliance on the Treasury Amendment.</w:t>
      </w:r>
    </w:p>
    <w:p>
      <w:pPr>
        <w:pStyle w:val="Normal"/>
        <w:tabs>
          <w:tab w:val="clear" w:pos="720"/>
          <w:tab w:val="left" w:pos="1440" w:leader="none"/>
        </w:tabs>
        <w:spacing w:lineRule="auto" w:line="480"/>
        <w:ind w:firstLine="720" w:end="0"/>
        <w:rPr/>
      </w:pPr>
      <w:r>
        <w:rPr/>
        <w:tab/>
        <w:t xml:space="preserve">The ESP definition includes, among others, (1) U.S. registered investment companies  or foreign funds subject to regulation as such; (2) commodity pools operated by registered commodity pool operators or foreign persons subject to similar regulation, </w:t>
      </w:r>
      <w:r>
        <w:rPr>
          <w:u w:val="single"/>
        </w:rPr>
        <w:t>provided</w:t>
      </w:r>
      <w:r>
        <w:rPr/>
        <w:t xml:space="preserve"> </w:t>
      </w:r>
      <w:r>
        <w:rPr>
          <w:u w:val="single"/>
        </w:rPr>
        <w:t>that</w:t>
      </w:r>
      <w:r>
        <w:rPr/>
        <w:t xml:space="preserve"> each such pool has at least $5 million in total assets; (3) corporations, partnerships, trusts or similar entities with total assets in excess of $10 million; (4) banks or trust companies; (5) registered broker-dealers or futures commission merchants or foreign entities acting in a similar capacity and subject to regulation as such; and (6) individuals with at least $10 million in assets.</w:t>
      </w:r>
    </w:p>
    <w:p>
      <w:pPr>
        <w:pStyle w:val="Normal"/>
        <w:tabs>
          <w:tab w:val="clear" w:pos="720"/>
          <w:tab w:val="left" w:pos="1440" w:leader="none"/>
        </w:tabs>
        <w:spacing w:lineRule="auto" w:line="480"/>
        <w:ind w:firstLine="720" w:end="0"/>
        <w:rPr/>
      </w:pPr>
      <w:r>
        <w:rPr/>
        <w:tab/>
        <w:t xml:space="preserve">In addition, you should be aware that legislation has been proposed, and is now pending in Congress, that would clarify and broaden the scope of the Treasury Amendment.  Pursuant to these proposals, FX Transactions entered into by, among others, banks, broker-dealers, futures commission merchants or their affiliates will be covered by the Treasury Amendment, and will therefore be excluded from the off-exchange trading prohibition, regardless of the nature of the counterparties.  However, this legislation has not yet been passed and it is impossible to predict at this point when or whether it will become law.  </w:t>
      </w:r>
    </w:p>
    <w:p>
      <w:pPr>
        <w:pStyle w:val="Normal"/>
        <w:tabs>
          <w:tab w:val="clear" w:pos="720"/>
          <w:tab w:val="left" w:pos="1440" w:leader="none"/>
        </w:tabs>
        <w:spacing w:lineRule="auto" w:line="480"/>
        <w:rPr/>
      </w:pPr>
      <w:r>
        <w:rPr/>
        <w:tab/>
        <w:t xml:space="preserve">Finally, as noted, the FCM or the Dealer will enter into EFPs on currencies with the same types of counterparties noted above.  An EFP, as you know, involves coordinated transactions in the cash and futures markets and, in order to qualify as a </w:t>
      </w:r>
      <w:r>
        <w:rPr>
          <w:u w:val="single"/>
        </w:rPr>
        <w:t>bona</w:t>
      </w:r>
      <w:r>
        <w:rPr/>
        <w:t xml:space="preserve"> </w:t>
      </w:r>
      <w:r>
        <w:rPr>
          <w:u w:val="single"/>
        </w:rPr>
        <w:t>fide</w:t>
      </w:r>
      <w:r>
        <w:rPr/>
        <w:t xml:space="preserve"> EFP under the CEA and CFTC regulations and interpretations, the cash component of the transaction must qualify as a permissible transaction in the relevant cash market.  In the case of currency EFPs, therefore, the cash component of the EFP should be entered into pursuant to the Treasury Amendment, consistent with the considerations noted above.  The futures component of an EFP effectively constitutes a permissible off-exchange futures transaction that is entered into through private negotiation between the parties rather than anonymously through the exchange.  The futures transaction is then “given up” by each party to its respective clearing broker for clearing through the exchange clearing house in the same manner as other futures contracts.</w:t>
      </w:r>
    </w:p>
    <w:p>
      <w:pPr>
        <w:pStyle w:val="Normal"/>
        <w:tabs>
          <w:tab w:val="clear" w:pos="720"/>
          <w:tab w:val="left" w:pos="1440" w:leader="none"/>
        </w:tabs>
        <w:spacing w:lineRule="auto" w:line="480"/>
        <w:rPr/>
      </w:pPr>
      <w:r>
        <w:rPr/>
        <w:tab/>
        <w:t xml:space="preserve">As noted, any person soliciting or accepting futures orders or accounts is required under the CEA to register as a futures commission merchant or an introducing broker.  Because the futures component of an EFP is a futures transaction that, except for the manner of its execution, is treated like any other futures transaction, a person may not handle the futures component of an EFP for another person without being registered as an FCM or an IB.  In the present instance, therefore, if the Dealer is responsible for transmitting the futures component of its counterparties’ EFPs to the appropriate clearing broker, or for any other matters related to the handling of the futures order, it will likely be required to register as a futures commission merchant or introducing broker.  Alternatively, it may be possible for the EFP business to be conducted exclusively by the FCM without any involvement by the Dealer in the futures components of such transactions, regardless of whether the cash market transaction is entered into by the Dealer.  Under such circumstances, the Dealer could have no involvement in the futures order (other than agreeing with its counterparty on the price and quantity of the futures component of the EFP) and the counterparty (or the FCM) would be required to be solely responsible for transmitting the transaction to the counterparty’s clearing broker and for ensuring that the transaction is properly margined and cleared.    </w:t>
        <w:tab/>
      </w:r>
    </w:p>
    <w:p>
      <w:pPr>
        <w:pStyle w:val="Normal"/>
        <w:spacing w:lineRule="auto" w:line="480"/>
        <w:rPr/>
      </w:pPr>
      <w:r>
        <w:rPr/>
        <w:tab/>
        <w:tab/>
        <w:t xml:space="preserve">Subject to the foregoing considerations, the FCM or the Dealer should be able to conduct the proposed business in FX Transactions and the Dealer should not be required to register with the CFTC.  However, as the foregoing discussion indicates, the law in this area is complex and rapidly changing and it will therefore be necessary to analyze the business proposal in greater detail as it is clarified. </w:t>
      </w:r>
    </w:p>
    <w:p>
      <w:pPr>
        <w:pStyle w:val="Normal"/>
        <w:spacing w:lineRule="auto" w:line="480"/>
        <w:ind w:firstLine="720" w:start="720" w:end="0"/>
        <w:rPr/>
      </w:pPr>
      <w:r>
        <w:rPr/>
        <w:t>Please call us if you have further questions on these or other matters.</w:t>
      </w:r>
    </w:p>
    <w:p>
      <w:pPr>
        <w:pStyle w:val="Normal"/>
        <w:rPr/>
      </w:pPr>
      <w:r>
        <w:rPr/>
        <w:tab/>
      </w:r>
    </w:p>
    <w:p>
      <w:pPr>
        <w:pStyle w:val="Normal"/>
        <w:rPr/>
      </w:pPr>
      <w:r>
        <w:rPr/>
      </w:r>
    </w:p>
    <w:p>
      <w:pPr>
        <w:pStyle w:val="Normal"/>
        <w:ind w:firstLine="1440" w:end="0"/>
        <w:rPr/>
      </w:pPr>
      <w:r>
        <w:rPr/>
        <w:tab/>
        <w:tab/>
      </w:r>
    </w:p>
    <w:p>
      <w:pPr>
        <w:pStyle w:val="Normal"/>
        <w:spacing w:before="0" w:after="240"/>
        <w:ind w:firstLine="1440" w:end="0"/>
        <w:rPr/>
      </w:pPr>
      <w:r>
        <w:rPr/>
        <w:tab/>
        <w:tab/>
        <w:tab/>
        <w:tab/>
        <w:tab/>
        <w:tab/>
        <w:t>D.J.G.</w:t>
      </w:r>
    </w:p>
    <w:sectPr>
      <w:headerReference w:type="default" r:id="rId2"/>
      <w:headerReference w:type="first" r:id="rId3"/>
      <w:footerReference w:type="default" r:id="rId4"/>
      <w:footerReference w:type="first" r:id="rId5"/>
      <w:footnotePr>
        <w:numFmt w:val="decimal"/>
      </w:footnotePr>
      <w:type w:val="nextPage"/>
      <w:pgSz w:w="12240" w:h="15840"/>
      <w:pgMar w:left="2160" w:right="1440" w:gutter="0" w:header="720" w:top="1915"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NY12532:  282464</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rPr>
        <w:sz w:val="18"/>
      </w:rPr>
    </w:pPr>
    <w:r>
      <w:rPr>
        <w:sz w:val="18"/>
      </w:rPr>
      <w:t>NY12532:  282994</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b/>
        <w:t>You should be aware that options on currencies traded on a securities exchange are considered securities and are subject to the jurisdiction of the Securities and Exchange Commission.  However, we do not understand these instruments to be part of the business proposal.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S&amp;C Draft of August 6, 2000</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lowerLetter"/>
      <w:lvlText w:val="%2)"/>
      <w:lvlJc w:val="start"/>
      <w:pPr>
        <w:tabs>
          <w:tab w:val="num" w:pos="720"/>
        </w:tabs>
        <w:ind w:start="720" w:hanging="360"/>
      </w:pPr>
      <w:rPr>
        <w:i w:val="false"/>
        <w:u w:val="none"/>
        <w:b w:val="false"/>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1z1">
    <w:name w:val="WW8Num1z1"/>
    <w:qFormat/>
    <w:rPr>
      <w:b w:val="false"/>
      <w:i w:val="false"/>
      <w:u w:val="non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numPr>
        <w:ilvl w:val="0"/>
        <w:numId w:val="2"/>
      </w:num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CTitle">
    <w:name w:val="S&amp;C Title"/>
    <w:basedOn w:val="Normal"/>
    <w:qFormat/>
    <w:pPr>
      <w:tabs>
        <w:tab w:val="clear" w:pos="720"/>
        <w:tab w:val="left" w:pos="630" w:leader="none"/>
      </w:tabs>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2000-08-02T15:51:00Z</dcterms:created>
  <dc:creator>For Help Call PC Support, x4277</dc:creator>
  <dc:description/>
  <dc:language>en-CA</dc:language>
  <cp:lastModifiedBy>David Gilberg</cp:lastModifiedBy>
  <cp:lastPrinted>2000-08-04T09:08:00Z</cp:lastPrinted>
  <dcterms:modified xsi:type="dcterms:W3CDTF">2000-08-05T16:24:00Z</dcterms:modified>
  <cp:revision>12</cp:revision>
  <dc:subject/>
  <dc:title/>
</cp:coreProperties>
</file>