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firstLine="720" w:end="0"/>
        <w:rPr/>
      </w:pPr>
      <w:r>
        <w:rPr/>
        <w:t>Memo</w:t>
      </w:r>
    </w:p>
    <w:p>
      <w:pPr>
        <w:pStyle w:val="MessageHeaderFirst"/>
        <w:rPr/>
      </w:pPr>
      <w:r>
        <w:rPr>
          <w:rStyle w:val="MessageHeaderLabel"/>
          <w:spacing w:val="-25"/>
        </w:rPr>
        <w:t>T</w:t>
      </w:r>
      <w:r>
        <w:rPr>
          <w:rStyle w:val="MessageHeaderLabel"/>
        </w:rPr>
        <w:t>o:</w:t>
      </w:r>
      <w:r>
        <w:rPr/>
        <w:tab/>
        <w:t>Steve Montovano, Jim Steffes</w:t>
        <w:tab/>
      </w:r>
    </w:p>
    <w:p>
      <w:pPr>
        <w:pStyle w:val="MessageHeader"/>
        <w:rPr/>
      </w:pPr>
      <w:r>
        <w:rPr>
          <w:rStyle w:val="MessageHeaderLabel"/>
        </w:rPr>
        <w:t>From:</w:t>
      </w:r>
      <w:r>
        <w:rPr/>
        <w:tab/>
        <w:t>Tom Chapman</w:t>
      </w:r>
    </w:p>
    <w:p>
      <w:pPr>
        <w:pStyle w:val="MessageHeader"/>
        <w:rPr/>
      </w:pPr>
      <w:r>
        <w:rPr>
          <w:rStyle w:val="MessageHeaderLabel"/>
        </w:rPr>
        <w:t>CC:</w:t>
      </w:r>
      <w:r>
        <w:rPr/>
        <w:tab/>
        <w:t>Joe Connor, Christi Nicolay, Mike Roan</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GridSouth Update</w:t>
      </w:r>
    </w:p>
    <w:p>
      <w:pPr>
        <w:pStyle w:val="Heading1"/>
        <w:ind w:hanging="0" w:start="835"/>
        <w:rPr>
          <w:rFonts w:ascii="Arial" w:hAnsi="Arial" w:cs="Arial"/>
          <w:sz w:val="20"/>
        </w:rPr>
      </w:pPr>
      <w:r>
        <w:rPr>
          <w:rFonts w:cs="Arial" w:ascii="Arial" w:hAnsi="Arial"/>
          <w:sz w:val="20"/>
        </w:rPr>
        <w:t xml:space="preserve">The GridSouth Transco is the RTO of the investor owned utilities of the Carolinas.  The three current members are Duke Power, Carolina Power &amp; Light (CP&amp;L), and South Carolina Electric &amp; Gas (SCE&amp;G).  Discussions have been ongoing regarding the inclusion of more members. Although GridSouth would prefer an expansion that brings members into their fold; the most likely means of expansion are through MOUs with companies that abut the current GridSouth companies (i.e. Santee Cooper).  </w:t>
      </w:r>
    </w:p>
    <w:p>
      <w:pPr>
        <w:pStyle w:val="Heading1"/>
        <w:ind w:hanging="0" w:start="835"/>
        <w:rPr/>
      </w:pPr>
      <w:r>
        <w:rPr>
          <w:rFonts w:cs="Arial" w:ascii="Arial" w:hAnsi="Arial"/>
          <w:sz w:val="20"/>
        </w:rPr>
        <w:t>One major obstacle standing in the way of GridSouth’s expansion plans is the apparent growth of the Southern Company’s RTO, the SeTrans RTO.  In the last couple of months, SeTrans has announced MOUs with many of the previously uncommitted Southeastern utilities, both public and privately owned.</w:t>
      </w:r>
      <w:r>
        <w:rPr>
          <w:rFonts w:cs="Arial" w:ascii="Arial" w:hAnsi="Arial"/>
        </w:rPr>
        <w:t xml:space="preserve">  </w:t>
      </w:r>
    </w:p>
    <w:p>
      <w:pPr>
        <w:pStyle w:val="BodyText"/>
        <w:rPr>
          <w:b/>
          <w:bCs/>
        </w:rPr>
      </w:pPr>
      <w:r>
        <w:rPr>
          <w:b/>
          <w:bCs/>
        </w:rPr>
        <w:t>GridSouth Process and Timeline</w:t>
      </w:r>
    </w:p>
    <w:p>
      <w:pPr>
        <w:pStyle w:val="BodyText"/>
        <w:rPr/>
      </w:pPr>
      <w:r>
        <w:rPr/>
        <w:t xml:space="preserve">In July of 2000, the three IOUs of Duke Power, CP&amp;L and SCE&amp;G (“member companies”) announced that they would be forming an RTO.  The first public meeting regarding the RTO was held last August, at which time, the member companies expressed their desire to meet the FERC desired timeline of operation on December 15, 2001.  At the August meeting, the member companies also expressed the fact that in order to meet this deadline, they were going to need to limit stakeholder input and work almost exclusively in a vacuum.  Of course, this did not sit well with any of the stakeholders, particularly public power. Over the course of the last year, this feeling of angst has grown into outright distrust regarding any actions taken by the member companies.  </w:t>
      </w:r>
    </w:p>
    <w:p>
      <w:pPr>
        <w:pStyle w:val="BodyText"/>
        <w:rPr/>
      </w:pPr>
      <w:r>
        <w:rPr/>
        <w:t>The GridSouth companies filed their original proposal for the GridSouth Transco on October 16, 2000.  Although this proposal was riddled with contradictions and practices that Enron objects to, much of the proposal was provisionally approved by FERC in March of 2001 (RTO1-74-000).  Furthermore, in January of 2001 the FERC approved an Order (EL01-13-000) that allows the GridSouth companies accounting procedures that should allow them to recover much of the start up costs of their enterprise.  [N.B. These costs have not been approved, only an accounting procedure for handling these costs].</w:t>
      </w:r>
    </w:p>
    <w:p>
      <w:pPr>
        <w:pStyle w:val="BodyText"/>
        <w:rPr/>
      </w:pPr>
      <w:r>
        <w:rPr/>
        <w:t>The March Order challenged a number of items expressed in the October filing and stated a date of May 15, 2001 for a compliance filing regarding progress on a number of issues.  This filing has since been filed, but the Order associated with this filing has not yet been issued.</w:t>
      </w:r>
    </w:p>
    <w:p>
      <w:pPr>
        <w:pStyle w:val="BodyText"/>
        <w:rPr>
          <w:b/>
          <w:bCs/>
        </w:rPr>
      </w:pPr>
      <w:r>
        <w:rPr/>
        <w:t>As of today, the GridSouth management committee is confident that initial operations will still take place on December 15, 2001.</w:t>
      </w:r>
    </w:p>
    <w:p>
      <w:pPr>
        <w:pStyle w:val="BodyText"/>
        <w:rPr>
          <w:b/>
          <w:bCs/>
        </w:rPr>
      </w:pPr>
      <w:r>
        <w:rPr>
          <w:b/>
          <w:bCs/>
        </w:rPr>
        <w:t>Board Selection</w:t>
      </w:r>
    </w:p>
    <w:p>
      <w:pPr>
        <w:pStyle w:val="BodyText"/>
        <w:rPr/>
      </w:pPr>
      <w:r>
        <w:rPr/>
        <w:t xml:space="preserve">As of June 15, 2001, six of the seven seats for the GridSouth Board have been selected.  The members of the Board include: </w:t>
      </w:r>
    </w:p>
    <w:p>
      <w:pPr>
        <w:pStyle w:val="BodyText"/>
        <w:rPr>
          <w:b/>
          <w:bCs/>
        </w:rPr>
      </w:pPr>
      <w:r>
        <w:rPr>
          <w:b/>
          <w:bCs/>
        </w:rPr>
        <w:t xml:space="preserve">Joe Bode: </w:t>
      </w:r>
    </w:p>
    <w:p>
      <w:pPr>
        <w:pStyle w:val="BodyText"/>
        <w:rPr>
          <w:b/>
          <w:bCs/>
        </w:rPr>
      </w:pPr>
      <w:r>
        <w:rPr>
          <w:b/>
          <w:bCs/>
        </w:rPr>
        <w:t>Michelle Foss: The Director of the Energy Research Institute at the University of Houston.</w:t>
      </w:r>
    </w:p>
    <w:p>
      <w:pPr>
        <w:pStyle w:val="BodyText"/>
        <w:rPr>
          <w:b/>
          <w:bCs/>
        </w:rPr>
      </w:pPr>
      <w:r>
        <w:rPr>
          <w:b/>
          <w:bCs/>
        </w:rPr>
        <w:t>William Gremp: Merrill Lynch, William Gremp Investments</w:t>
      </w:r>
    </w:p>
    <w:p>
      <w:pPr>
        <w:pStyle w:val="BodyText"/>
        <w:rPr>
          <w:b/>
          <w:bCs/>
        </w:rPr>
      </w:pPr>
      <w:r>
        <w:rPr>
          <w:b/>
          <w:bCs/>
        </w:rPr>
        <w:t>Martin Jiischke: President of Purdue University</w:t>
      </w:r>
    </w:p>
    <w:p>
      <w:pPr>
        <w:pStyle w:val="BodyText"/>
        <w:rPr>
          <w:b/>
          <w:bCs/>
        </w:rPr>
      </w:pPr>
      <w:r>
        <w:rPr>
          <w:b/>
          <w:bCs/>
        </w:rPr>
        <w:t>Tom Johnson: CEO and President of Chesapeake Corporation</w:t>
      </w:r>
    </w:p>
    <w:p>
      <w:pPr>
        <w:pStyle w:val="BodyText"/>
        <w:rPr>
          <w:b/>
          <w:bCs/>
        </w:rPr>
      </w:pPr>
      <w:r>
        <w:rPr>
          <w:b/>
          <w:bCs/>
        </w:rPr>
        <w:t>Bill Wallbridge (public power): M-S-R Power Agency in California, Consultant</w:t>
      </w:r>
    </w:p>
    <w:p>
      <w:pPr>
        <w:pStyle w:val="BodyText"/>
        <w:rPr/>
      </w:pPr>
      <w:r>
        <w:rPr/>
        <w:t xml:space="preserve">These parties are the fruit of a contentious process that included a FERC Order to the GridSouth founding companies to go back and consult the stakeholders in the seating of the Board.  This Order transferred power from the companies, who originally had all of the decision rights and who had actually already selected their own board, to a new process that included stakeholders.  The FERC process consisted of a voting methodology that placed the founding members against the stakeholder non-members in a strike process consisting of two sides striking individuals of the possible Board member list.  The original list was provided by Russell Reynolds of Chicago.  </w:t>
      </w:r>
    </w:p>
    <w:p>
      <w:pPr>
        <w:pStyle w:val="BodyText"/>
        <w:rPr/>
      </w:pPr>
      <w:r>
        <w:rPr/>
        <w:t xml:space="preserve">However, in reality, the two sides worked out a compromise to seat the most appropriate board.  This compromise consisted of a deal for one of the Board members that the founding members wanted, in return for allowing the non-member stakeholders discretion over the public power seat on the board.  This being said many of the public power entities still feel victimized by the process associated with the selection of the Board, and in a larger sense the entire GridSouth process.  </w:t>
      </w:r>
    </w:p>
    <w:p>
      <w:pPr>
        <w:pStyle w:val="BodyText"/>
        <w:rPr/>
      </w:pPr>
      <w:r>
        <w:rPr/>
        <w:t>The seventh and last member of the Board will be seated by the founding companies per approval by FERC in the March 2001 Order, and this person will become the Chairman of the Board and the CEO of the GridSouth Transco.  The complete Board will not actually take control of the company until the operational start date of December 15, 2001.  Between now and then, probably sometime in September, the Board will go through a week long orientation process.</w:t>
      </w:r>
    </w:p>
    <w:p>
      <w:pPr>
        <w:pStyle w:val="BodyText"/>
        <w:rPr/>
      </w:pPr>
      <w:r>
        <w:rPr/>
        <w:t>The member companies also bear the responsibility of hiring much of the management team associated with GridSouth.  In this role, they have hired a COO, James (Jim) Hinton of Duke Power, and a CFO, Raymond (Ray) Guiliani from Perform.com.  Jim was planning on moving to GridSouth full time by July 1, and Richard’s timeline was approximately the same.</w:t>
      </w:r>
    </w:p>
    <w:p>
      <w:pPr>
        <w:pStyle w:val="BodyText"/>
        <w:rPr>
          <w:b/>
          <w:bCs/>
        </w:rPr>
      </w:pPr>
      <w:r>
        <w:rPr>
          <w:b/>
          <w:bCs/>
        </w:rPr>
        <w:t>The Actual Proposal</w:t>
      </w:r>
    </w:p>
    <w:p>
      <w:pPr>
        <w:pStyle w:val="BodyText"/>
        <w:rPr>
          <w:i/>
          <w:i/>
          <w:iCs/>
        </w:rPr>
      </w:pPr>
      <w:r>
        <w:rPr>
          <w:i/>
          <w:iCs/>
        </w:rPr>
        <w:t>Basic Market Design</w:t>
      </w:r>
    </w:p>
    <w:p>
      <w:pPr>
        <w:pStyle w:val="BodyText"/>
        <w:rPr/>
      </w:pPr>
      <w:r>
        <w:rPr/>
        <w:t>The GridSouth Transco will be a for-profit entity created under an LLC governance structure.  This LLC will be governed by the aforementioned Board of Directors.  However, under the current governance structure of the LLC the member companies retain certain fundamental business decisions such as mergers, dissolutions, and compensation structures for the Board.  At some point in the future, the LLC could potentially own transmission assets, but at the initiation of GridSouth the member companies will not be divesting these assets to GridSouth.  The member companies have explicitly stated that they will do this at some time in the future.</w:t>
      </w:r>
    </w:p>
    <w:p>
      <w:pPr>
        <w:pStyle w:val="BodyText"/>
        <w:rPr/>
      </w:pPr>
      <w:r>
        <w:rPr/>
        <w:t>GridSouth will have primary responsibility over planning, and under certain circumstances, could potentially build expansions to the grid.  Furthermore, GridSouth will retain an operational oversight role with security responsibilities.  However, the member companies will retain their control areas for the time being to handle scheduling, system control, dispatch, ACE functions and maintenance of their transmission assets.  Furthermore, the Control Areas will provide the necessary ancillary services including Reactive and Voltage Support, Regulation and Frequency Control, Spinning and Supplemental Reserve Service.</w:t>
      </w:r>
    </w:p>
    <w:p>
      <w:pPr>
        <w:pStyle w:val="BodyText"/>
        <w:rPr/>
      </w:pPr>
      <w:r>
        <w:rPr/>
        <w:t>GridSouth will assess charges based on a license plate rate structure.  Each control area will be a pricing zone.  These zones will have individualized rates, and transactions that are totally internal to GridSouth will be charged based on the Sink Zone.  If the transaction is either a through transaction or a transaction that sources in GridSouth but sinks external to GridSouth, then the rate structure will be based upon a weighted average.  This weighted average will be dependent not on the physical flows of the transaction, but upon the total percentage of transmission owned by the various companies.  Thus, the weighted average should be a set function that is known previous to transactions.  These pricing functions will be available through the eventually approved OATT.</w:t>
      </w:r>
    </w:p>
    <w:p>
      <w:pPr>
        <w:pStyle w:val="BodyText"/>
        <w:ind w:firstLine="720" w:start="0" w:end="0"/>
        <w:rPr>
          <w:i/>
          <w:i/>
          <w:iCs/>
        </w:rPr>
      </w:pPr>
      <w:r>
        <w:rPr>
          <w:i/>
          <w:iCs/>
        </w:rPr>
        <w:t>Size &amp; Scope</w:t>
      </w:r>
    </w:p>
    <w:p>
      <w:pPr>
        <w:pStyle w:val="BodyText"/>
        <w:rPr/>
      </w:pPr>
      <w:r>
        <w:rPr/>
        <w:t xml:space="preserve">One of the most fundamental issues associated with the GridSouth Transco filing is the size of the region to be included in the RTO.  Although the member companies have suggested that they will grow their business and their regional scope, to this point they have had little success in this endeavor.  Specifically, GridSouth is bordered by Santee Cooper, the Southern Company, the Tennessee Valley Authority (TVA), and the Alliance companies of Dominion Power (VEPCO and NC Power) and American Electric Power (AEP).  </w:t>
      </w:r>
    </w:p>
    <w:p>
      <w:pPr>
        <w:pStyle w:val="BodyText"/>
        <w:rPr/>
      </w:pPr>
      <w:r>
        <w:rPr/>
        <w:t>GridSouth is in the process of finalizing a seams agreement with Santee Cooper.  This agreement should create a seamless region within the entire Carolinas, except for the area operated by NC Power in northeast North Carolina which is a Dominion subsidiary.  All other discussions have been fruitless, and in fact, the other possible counterparties have signed MOUs with the Southern Company to explore RTO options through SeTrans.  For this reason, GridSouth’s pledge that the original GridSouth is merely a footprint company that will eventually expand seems unlikely.  Instead, it appears likely that GridSouth will either join the Alliance or merge with SeTrans.  If GridSouth does join the Alliance, the two companies could be merger rather quickly and seamlessly because neithers current initiatives are amazingly progressive.  Instead, both remain grounded in the original FERC Order 888 ideals.</w:t>
      </w:r>
    </w:p>
    <w:p>
      <w:pPr>
        <w:pStyle w:val="BodyText"/>
        <w:rPr/>
      </w:pPr>
      <w:r>
        <w:rPr/>
        <w:t xml:space="preserve">Enron’s basic position has always been that there should only be one RTO in the Southeastern United States.  The major factor standing in the way of this is the governance structure associated with GridSouth.  In their May 15 filing, the Southern Company stated that they will not join GridSouth because many of the governance decisions and the basic structure of the company has already been decided.  Because Southern does not feel that they would have an influential voice to make substantive changes, Southern claims that they cannot join GridSouth.  </w:t>
      </w:r>
    </w:p>
    <w:p>
      <w:pPr>
        <w:pStyle w:val="BodyText"/>
        <w:rPr/>
      </w:pPr>
      <w:r>
        <w:rPr/>
        <w:t>The understory to this is that Southern and the GridSouth companies have had major disagreements about how the member companies should vote regarding major decisions.  If Southern were merely added as a company to GridSouth, the current structure would give only one vote to the five operating companies and not by MW basis.  This would mean that the three Carolina IOUs would have effective power over Southern’s assets.  Clearly, this is a major stumbling block for Southern.  Furthermore, there is major competition between Duke and Southern to be the pre-eminent power in the Southeast.  Giving up or severly limiting decision rights with regards to the transmission assets, would limit and hinder Southern from retaining their current dominant position in the Deep South.  Although it is fair to say that SeTrans and GridSouth have operational and procedural dis-similarities, the fundamental reason for not merging these companies is the governance structure.  If this problem is resolved or if the FERC orders a change, these two companies could merge to form one Southeastern RTO.</w:t>
      </w:r>
    </w:p>
    <w:p>
      <w:pPr>
        <w:pStyle w:val="BodyText"/>
        <w:rPr/>
      </w:pPr>
      <w:r>
        <w:rPr/>
        <w:t>For the time being, GridSouth is rather small without the possibility of growing quickly.  This could eventually limit the upside of doing wholesale business in this area because the number of counterparties and the amount of MWs traded is so limited.  Furthermore, it appears that due to the limited nature of growth opportunities, this parochialism will continue indefinitely.</w:t>
      </w:r>
    </w:p>
    <w:p>
      <w:pPr>
        <w:pStyle w:val="BodyText"/>
        <w:rPr>
          <w:i/>
          <w:i/>
          <w:iCs/>
        </w:rPr>
      </w:pPr>
      <w:r>
        <w:rPr>
          <w:i/>
          <w:iCs/>
        </w:rPr>
        <w:t>Congestion Management</w:t>
      </w:r>
    </w:p>
    <w:p>
      <w:pPr>
        <w:pStyle w:val="BodyText"/>
        <w:rPr/>
      </w:pPr>
      <w:r>
        <w:rPr/>
        <w:t>Essentially, GridSouth is going to attempt to resolve congestion through redispatch by mandatory inc and dec bids.  If this method fails, they will TLR.</w:t>
      </w:r>
    </w:p>
    <w:p>
      <w:pPr>
        <w:pStyle w:val="BodyText"/>
        <w:rPr/>
      </w:pPr>
      <w:r>
        <w:rPr/>
        <w:t xml:space="preserve">Specifically, GridSouth will analyze data and attempt to forecast congestion.  Following their forecasts, they will post information on their website regarding the congested flowgates and areas.  This will allow customers to bilaterally transact to alleviate congestion should they so choose.  If congestion is not eliminated, GridSouth will turn to its mandatory generator bids.  Load Serving Entities can also submit voluntary decremental bids for load.  However, the basic guideline for dispatch is that firm transactions will not be cut and the system will be dispatched around these transactions.  Thus, all of the redispatch options will occur on non-firm and interruptible levels.  If redispatch of non-firm and interruptible load does not relieve congestion, then GridSouth can call for redispatch of firm transactions prior to TLR of firm transactions.  </w:t>
      </w:r>
    </w:p>
    <w:p>
      <w:pPr>
        <w:pStyle w:val="BodyText"/>
        <w:rPr/>
      </w:pPr>
      <w:r>
        <w:rPr/>
        <w:t>Generators that redispatch will be paid based either on market-based rates if they have been approved by FERC or on a cost based rate basis.</w:t>
      </w:r>
    </w:p>
    <w:p>
      <w:pPr>
        <w:pStyle w:val="BodyText"/>
        <w:rPr/>
      </w:pPr>
      <w:r>
        <w:rPr/>
        <w:t>Schedules will be submitted at twenty-four hours in advance of the operational period and can be changed up until twenty minutes prior to real-time.</w:t>
      </w:r>
    </w:p>
    <w:p>
      <w:pPr>
        <w:pStyle w:val="BodyText"/>
        <w:rPr/>
      </w:pPr>
      <w:r>
        <w:rPr/>
        <w:t>Entities with firm transmission rights, including native load, will be assessed redispatch charges pro-rata based on their creation of congestion.  There is no explicit protocol for determining causation of congestion.</w:t>
      </w:r>
    </w:p>
    <w:p>
      <w:pPr>
        <w:pStyle w:val="BodyText"/>
        <w:rPr/>
      </w:pPr>
      <w:r>
        <w:rPr/>
        <w:t>GridSouth can accept redispatch bids prior to the real-time.  This acceptance will stand as a firm commitment by GridSouth to honor the generator’s dispatch.  These bids can be modified in certain situations if GridSouth accepts, but they are potentially firm commitments between both GridSouth and the generator.</w:t>
      </w:r>
    </w:p>
    <w:p>
      <w:pPr>
        <w:pStyle w:val="BodyText"/>
        <w:rPr/>
      </w:pPr>
      <w:r>
        <w:rPr/>
        <w:t xml:space="preserve">GridSouth will facilitate market functions such as bilateral redispatch and secondary transmission sale.  Furthermore, GridSouth will post voluntary redispatch bids by generators with both firm and bilateral possibilities.  </w:t>
      </w:r>
    </w:p>
    <w:p>
      <w:pPr>
        <w:pStyle w:val="BodyText"/>
        <w:rPr/>
      </w:pPr>
      <w:r>
        <w:rPr/>
        <w:t xml:space="preserve">GridSouth will implement the above congestion management system on 12-15-2001.  By February 2002, GridSouth with input from stakeholders will attempt to create a permanent congestion management and real-time balancing system.  This revised system will be submitted to FERC by October of 2002, and will be implement in December.  </w:t>
      </w:r>
    </w:p>
    <w:p>
      <w:pPr>
        <w:pStyle w:val="BodyText"/>
        <w:rPr>
          <w:i/>
          <w:i/>
          <w:iCs/>
        </w:rPr>
      </w:pPr>
      <w:r>
        <w:rPr>
          <w:i/>
          <w:iCs/>
        </w:rPr>
        <w:t>Balancing Market</w:t>
      </w:r>
    </w:p>
    <w:p>
      <w:pPr>
        <w:pStyle w:val="BodyText"/>
        <w:rPr/>
      </w:pPr>
      <w:r>
        <w:rPr/>
        <w:t>The real-time balancing market is intended to handle a relatively small percentage of MWs on the grid.  It is essentially going to handle the mis-scheduled load through calling on generators, again through their mandatory inc and dec bids, to dispatch accordingly.  Those entities who have caused the imbalance will be penalized according to their percentage of imbalance.  For a transaction of more than 1MW, an imbalance penalty will be assessed if the transaction is out of balance by 2 MW or 1.5% of the total MW load.  The imbalances will be measured on both a load and generation basis.  The assessment of the penalty will consist of a Hourly Index Charge (HIC) multiplied by the imbalance.  The HIC will be determined based on a readily available public index.</w:t>
      </w:r>
    </w:p>
    <w:p>
      <w:pPr>
        <w:pStyle w:val="BodyText"/>
        <w:rPr>
          <w:i/>
          <w:i/>
          <w:iCs/>
        </w:rPr>
      </w:pPr>
      <w:r>
        <w:rPr>
          <w:i/>
          <w:iCs/>
        </w:rPr>
        <w:t>Pricing Issues</w:t>
      </w:r>
    </w:p>
    <w:p>
      <w:pPr>
        <w:pStyle w:val="BodyText"/>
        <w:rPr/>
      </w:pPr>
      <w:r>
        <w:rPr/>
        <w:t>Pricing has been included in the supplemental compliance filing made by GridSouth in May, however because this filing has not received FERC approval, it is probably too early to send the details around.  Some specifics bear mentioning however.</w:t>
      </w:r>
    </w:p>
    <w:p>
      <w:pPr>
        <w:pStyle w:val="BodyText"/>
        <w:rPr/>
      </w:pPr>
      <w:r>
        <w:rPr/>
      </w:r>
    </w:p>
    <w:p>
      <w:pPr>
        <w:pStyle w:val="BodyText"/>
        <w:rPr/>
      </w:pPr>
      <w:r>
        <w:rPr/>
        <w:t>First, GridSouth will be given a basic Transmission Service Charge (TSC) that will provide access to the grid for various customers.  This service is essentially their rate of return access service.    Secondly, the rates associated with this TSC and other services mentioned in the OATT are subject to a moratorium on rates until 2005.  This moratorium is intended to allow GridSouth recovery of their expenses with regards to start up.</w:t>
      </w:r>
    </w:p>
    <w:p>
      <w:pPr>
        <w:pStyle w:val="BodyText"/>
        <w:rPr>
          <w:b/>
          <w:bCs/>
        </w:rPr>
      </w:pPr>
      <w:r>
        <w:rPr>
          <w:b/>
          <w:bCs/>
        </w:rPr>
        <w:t>SERTOC (Southeastern RTO Collaborative)</w:t>
      </w:r>
    </w:p>
    <w:p>
      <w:pPr>
        <w:pStyle w:val="BodyText"/>
        <w:rPr/>
      </w:pPr>
      <w:r>
        <w:rPr/>
        <w:t xml:space="preserve">Over the course of the last year, it has become clear that the various incumbent utilities have no interest in holding a collaborative process.  For this reason, Enron has lead an effort to begin an underground collaborative process through a group called SERTOC.  Currently, I am the functioning head of SERTOC.  I schedule the meetings, developed the website, set the agenda, etc.  </w:t>
      </w:r>
    </w:p>
    <w:p>
      <w:pPr>
        <w:pStyle w:val="BodyText"/>
        <w:rPr/>
      </w:pPr>
      <w:r>
        <w:rPr/>
        <w:t>This group has as its mission a goal of creating a single RTO for the entire Southeastern United States.  We have members from not only GridSouth but also Florida, SeTrans, and other independent parties.  For this reason, we spend a great deal of time merely passing information back and forth.  Basically, Enron is running this group.  I have list of members and I dispatch the information to the rest of the group.</w:t>
      </w:r>
    </w:p>
    <w:p>
      <w:pPr>
        <w:pStyle w:val="BodyText"/>
        <w:rPr/>
      </w:pPr>
      <w:r>
        <w:rPr/>
      </w:r>
      <w:r>
        <w:br w:type="page"/>
      </w:r>
    </w:p>
    <w:p>
      <w:pPr>
        <w:pStyle w:val="BodyText"/>
        <w:rPr>
          <w:b/>
          <w:bCs/>
        </w:rPr>
      </w:pPr>
      <w:r>
        <w:rPr>
          <w:b/>
          <w:bCs/>
        </w:rPr>
        <w:t>Enron’s Plan</w:t>
      </w:r>
    </w:p>
    <w:p>
      <w:pPr>
        <w:pStyle w:val="BodyText"/>
        <w:rPr/>
      </w:pPr>
      <w:r>
        <w:rPr/>
        <w:t>Short-term Strategy (Six Months):</w:t>
      </w:r>
    </w:p>
    <w:p>
      <w:pPr>
        <w:pStyle w:val="BodyText"/>
        <w:numPr>
          <w:ilvl w:val="0"/>
          <w:numId w:val="14"/>
        </w:numPr>
        <w:rPr/>
      </w:pPr>
      <w:r>
        <w:rPr/>
        <w:t>Prepare our traders and business units for operation under the current protocols proposed by GridSouth.</w:t>
      </w:r>
    </w:p>
    <w:p>
      <w:pPr>
        <w:pStyle w:val="BodyText"/>
        <w:numPr>
          <w:ilvl w:val="0"/>
          <w:numId w:val="14"/>
        </w:numPr>
        <w:rPr/>
      </w:pPr>
      <w:r>
        <w:rPr/>
        <w:t>Ensure that our systems work with the systems of GridSouth, and attend the GridSouth operational meeting.  This meeting is intended to bring all customers up to speed on protocols and actual operation procedures.</w:t>
      </w:r>
    </w:p>
    <w:p>
      <w:pPr>
        <w:pStyle w:val="BodyText"/>
        <w:numPr>
          <w:ilvl w:val="0"/>
          <w:numId w:val="14"/>
        </w:numPr>
        <w:rPr/>
      </w:pPr>
      <w:r>
        <w:rPr/>
        <w:t xml:space="preserve">Build business by working with smaller entities on seams issues and other transmission related problems that will come into being with advent of GridSouth.  Specifically, work with Lockhart Power of South Carolina, North Carolina EMC, Central Coop of South Carolina, Piedmont Power Agency, and the ElectriCities.  These entities all are in need of both information and expertise.  </w:t>
      </w:r>
    </w:p>
    <w:p>
      <w:pPr>
        <w:pStyle w:val="BodyText"/>
        <w:numPr>
          <w:ilvl w:val="0"/>
          <w:numId w:val="14"/>
        </w:numPr>
        <w:rPr/>
      </w:pPr>
      <w:r>
        <w:rPr/>
        <w:t>Continue to develop Stakeholder Collaborative established through SERTOC (Southeast RTO Collaborative) to push for Enron agenda.  In particular, push through this group to implement Stakeholder Advisory Committee prior to operation on December 15, 2001.  And through Stakeholder Advisory Committee and SERTOC advocate for discussion on Real-time Balancing and Congestion Management on a faster timeline than the one currently presented by GridSouth filings.</w:t>
      </w:r>
    </w:p>
    <w:p>
      <w:pPr>
        <w:pStyle w:val="BodyText"/>
        <w:ind w:start="720" w:end="0"/>
        <w:rPr/>
      </w:pPr>
      <w:r>
        <w:rPr/>
      </w:r>
    </w:p>
    <w:p>
      <w:pPr>
        <w:pStyle w:val="BodyText"/>
        <w:ind w:start="720" w:end="0"/>
        <w:rPr/>
      </w:pPr>
      <w:r>
        <w:rPr/>
        <w:t>Longer-term Strategy (Eighteen Months and Longer):</w:t>
      </w:r>
    </w:p>
    <w:p>
      <w:pPr>
        <w:pStyle w:val="BodyText"/>
        <w:numPr>
          <w:ilvl w:val="0"/>
          <w:numId w:val="13"/>
        </w:numPr>
        <w:rPr/>
      </w:pPr>
      <w:r>
        <w:rPr/>
        <w:t>Understand Issues that are Developing and Affecting our Business Units including but not limited to, systems integration issues, operational confusion, and communication with GridSouth and Control Areas.</w:t>
      </w:r>
    </w:p>
    <w:p>
      <w:pPr>
        <w:pStyle w:val="BodyText"/>
        <w:numPr>
          <w:ilvl w:val="0"/>
          <w:numId w:val="13"/>
        </w:numPr>
        <w:rPr/>
      </w:pPr>
      <w:r>
        <w:rPr/>
        <w:t>Build a system that eliminates GridSouth from taking market positions on anything, including their current status as being a counterparty in congestion mangement (through scheduling and guaranteeing counterparties before hand), real-time balancing in which they are taking losing positions to provide balancing services.  Instead, turn these services over to other entities to provide for bilaterally or through another avenue, i.e. a separate contractor.</w:t>
      </w:r>
    </w:p>
    <w:p>
      <w:pPr>
        <w:pStyle w:val="BodyText"/>
        <w:numPr>
          <w:ilvl w:val="0"/>
          <w:numId w:val="13"/>
        </w:numPr>
        <w:rPr/>
      </w:pPr>
      <w:r>
        <w:rPr/>
        <w:t>Create a marketplace that expands Enron’s business in the Southeast through more equitable access and expanded communications with the smaller public power types (who are willing counterparties).</w:t>
      </w:r>
    </w:p>
    <w:p>
      <w:pPr>
        <w:pStyle w:val="BodyText"/>
        <w:numPr>
          <w:ilvl w:val="0"/>
          <w:numId w:val="13"/>
        </w:numPr>
        <w:rPr/>
      </w:pPr>
      <w:r>
        <w:rPr/>
        <w:t>Push for merger of GridSouth with other RTOs in the region.  Currently, the merger partners appear to be either the Alliance or SeTrans.  Push for GridSouth to expand.</w:t>
      </w:r>
    </w:p>
    <w:p>
      <w:pPr>
        <w:pStyle w:val="BodyText"/>
        <w:rPr/>
      </w:pPr>
      <w:r>
        <w:rPr/>
      </w:r>
      <w:r>
        <w:br w:type="page"/>
      </w:r>
    </w:p>
    <w:p>
      <w:pPr>
        <w:pStyle w:val="BodyText"/>
        <w:rPr>
          <w:b/>
          <w:bCs/>
        </w:rPr>
      </w:pPr>
      <w:r>
        <w:rPr>
          <w:b/>
          <w:bCs/>
        </w:rPr>
      </w:r>
    </w:p>
    <w:p>
      <w:pPr>
        <w:pStyle w:val="BodyText"/>
        <w:rPr>
          <w:b/>
          <w:bCs/>
        </w:rPr>
      </w:pPr>
      <w:r>
        <w:rPr>
          <w:b/>
          <w:bCs/>
        </w:rPr>
        <w:t>Top Ten Issues</w:t>
      </w:r>
    </w:p>
    <w:p>
      <w:pPr>
        <w:pStyle w:val="BodyText"/>
        <w:numPr>
          <w:ilvl w:val="0"/>
          <w:numId w:val="12"/>
        </w:numPr>
        <w:rPr/>
      </w:pPr>
      <w:r>
        <w:rPr/>
        <w:t xml:space="preserve">True Open Access-Eliminate Control Areas and Collapse Operations to GridSouth.  </w:t>
      </w:r>
    </w:p>
    <w:p>
      <w:pPr>
        <w:pStyle w:val="BodyText"/>
        <w:numPr>
          <w:ilvl w:val="0"/>
          <w:numId w:val="12"/>
        </w:numPr>
        <w:rPr/>
      </w:pPr>
      <w:r>
        <w:rPr/>
        <w:t>Get GridSouth out of Guaranteeing Congestion Management Ahead of Time</w:t>
      </w:r>
    </w:p>
    <w:p>
      <w:pPr>
        <w:pStyle w:val="BodyText"/>
        <w:numPr>
          <w:ilvl w:val="0"/>
          <w:numId w:val="12"/>
        </w:numPr>
        <w:rPr/>
      </w:pPr>
      <w:r>
        <w:rPr/>
        <w:t xml:space="preserve">Get GridSouth out of the Balancing Market </w:t>
      </w:r>
    </w:p>
    <w:p>
      <w:pPr>
        <w:pStyle w:val="BodyText"/>
        <w:numPr>
          <w:ilvl w:val="0"/>
          <w:numId w:val="12"/>
        </w:numPr>
        <w:rPr/>
      </w:pPr>
      <w:r>
        <w:rPr/>
        <w:t>Expand GridSouth, either through Merger with Alliance or SeTrans.  One Southeastern RTO is preferable.</w:t>
      </w:r>
    </w:p>
    <w:p>
      <w:pPr>
        <w:pStyle w:val="BodyText"/>
        <w:numPr>
          <w:ilvl w:val="0"/>
          <w:numId w:val="12"/>
        </w:numPr>
        <w:rPr/>
      </w:pPr>
      <w:r>
        <w:rPr/>
        <w:t>Push for faster timeline on Congestion Management and Real-Time Balancing Market working collaborative proposed in GridSouth FERC filing.</w:t>
      </w:r>
    </w:p>
    <w:p>
      <w:pPr>
        <w:pStyle w:val="BodyText"/>
        <w:numPr>
          <w:ilvl w:val="0"/>
          <w:numId w:val="12"/>
        </w:numPr>
        <w:rPr/>
      </w:pPr>
      <w:r>
        <w:rPr/>
        <w:t>Collapse the Control Areas.</w:t>
      </w:r>
    </w:p>
    <w:p>
      <w:pPr>
        <w:pStyle w:val="BodyText"/>
        <w:numPr>
          <w:ilvl w:val="0"/>
          <w:numId w:val="12"/>
        </w:numPr>
        <w:rPr/>
      </w:pPr>
      <w:r>
        <w:rPr/>
        <w:t>Turn over all transmission operations to GridSouth</w:t>
      </w:r>
    </w:p>
    <w:p>
      <w:pPr>
        <w:pStyle w:val="BodyText"/>
        <w:numPr>
          <w:ilvl w:val="0"/>
          <w:numId w:val="12"/>
        </w:numPr>
        <w:rPr/>
      </w:pPr>
      <w:r>
        <w:rPr/>
        <w:t>Create ready environment for infrastructure upgrades including Independent Power Producers and a second interstate gas pipeline</w:t>
      </w:r>
    </w:p>
    <w:p>
      <w:pPr>
        <w:pStyle w:val="BodyText"/>
        <w:numPr>
          <w:ilvl w:val="0"/>
          <w:numId w:val="12"/>
        </w:numPr>
        <w:rPr/>
      </w:pPr>
      <w:r>
        <w:rPr/>
        <w:t>Expand Grid to Better Manage Trading into TVA, AEP, VEPCO (PJM), and Southern.</w:t>
      </w:r>
    </w:p>
    <w:p>
      <w:pPr>
        <w:pStyle w:val="BodyText"/>
        <w:rPr/>
      </w:pPr>
      <w:r>
        <w:rPr/>
      </w:r>
    </w:p>
    <w:p>
      <w:pPr>
        <w:pStyle w:val="BodyText"/>
        <w:spacing w:before="0" w:after="220"/>
        <w:rPr/>
      </w:pPr>
      <w:r>
        <w:rPr/>
      </w:r>
    </w:p>
    <w:sectPr>
      <w:footerReference w:type="default" r:id="rId2"/>
      <w:footerReference w:type="first" r:id="rId3"/>
      <w:type w:val="nextPage"/>
      <w:pgSz w:w="12240" w:h="15840"/>
      <w:pgMar w:left="965" w:right="1800" w:gutter="0" w:header="0" w:top="1008"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1195"/>
        </w:tabs>
        <w:ind w:start="1195" w:hanging="360"/>
      </w:pPr>
      <w:rPr/>
    </w:lvl>
  </w:abstractNum>
  <w:abstractNum w:abstractNumId="13">
    <w:lvl w:ilvl="0">
      <w:start w:val="1"/>
      <w:numFmt w:val="decimal"/>
      <w:lvlText w:val="%1."/>
      <w:lvlJc w:val="start"/>
      <w:pPr>
        <w:tabs>
          <w:tab w:val="num" w:pos="1080"/>
        </w:tabs>
        <w:ind w:start="1080" w:hanging="360"/>
      </w:pPr>
      <w:rPr/>
    </w:lvl>
  </w:abstractNum>
  <w:abstractNum w:abstractNumId="14">
    <w:lvl w:ilvl="0">
      <w:start w:val="1"/>
      <w:numFmt w:val="decimal"/>
      <w:lvlText w:val="%1."/>
      <w:lvlJc w:val="start"/>
      <w:pPr>
        <w:tabs>
          <w:tab w:val="num" w:pos="1195"/>
        </w:tabs>
        <w:ind w:start="119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35" w:end="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1195"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1555"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915" w:end="0"/>
      <w:outlineLvl w:val="4"/>
    </w:pPr>
    <w:rPr>
      <w:rFonts w:ascii="Arial Black" w:hAnsi="Arial Black" w:cs="Arial Black"/>
      <w:spacing w:val="-2"/>
      <w:kern w:val="2"/>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ind w:hanging="360" w:start="1195"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shd w:fill="000000" w:val="clear"/>
      <w:spacing w:lineRule="exact" w:line="320"/>
      <w:ind w:hanging="0" w:start="0" w:end="0"/>
    </w:pPr>
    <w:rPr>
      <w:rFonts w:ascii="Arial Black" w:hAnsi="Arial Black" w:cs="Arial Black"/>
      <w:color w:val="FFFFFF"/>
      <w:spacing w:val="-15"/>
      <w:sz w:val="32"/>
    </w:rPr>
  </w:style>
  <w:style w:type="paragraph" w:styleId="DocumentLabel">
    <w:name w:val="Document Label"/>
    <w:basedOn w:val="Normal"/>
    <w:next w:val="Normal"/>
    <w:qFormat/>
    <w:pPr>
      <w:keepNext w:val="true"/>
      <w:keepLines/>
      <w:spacing w:lineRule="atLeast" w:line="240" w:before="400" w:after="120"/>
      <w:ind w:hanging="0" w:start="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1555"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1555" w:end="0"/>
    </w:pPr>
    <w:rPr/>
  </w:style>
  <w:style w:type="paragraph" w:styleId="ReturnAddress">
    <w:name w:val="Return Address"/>
    <w:basedOn w:val="Normal"/>
    <w:qFormat/>
    <w:pPr>
      <w:keepLines/>
      <w:spacing w:lineRule="atLeast" w:line="200"/>
      <w:ind w:hanging="0" w:start="0" w:end="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ListBullet2">
    <w:name w:val="List Bullet 2"/>
    <w:basedOn w:val="Normal"/>
    <w:pPr>
      <w:ind w:hanging="360" w:start="1555" w:end="0"/>
    </w:pPr>
    <w:rPr/>
  </w:style>
  <w:style w:type="paragraph" w:styleId="ListBullet3">
    <w:name w:val="List Bullet 3"/>
    <w:basedOn w:val="Normal"/>
    <w:pPr>
      <w:ind w:hanging="360" w:start="1915" w:end="0"/>
    </w:pPr>
    <w:rPr/>
  </w:style>
  <w:style w:type="paragraph" w:styleId="ListBullet4">
    <w:name w:val="List Bullet 4"/>
    <w:basedOn w:val="Normal"/>
    <w:pPr>
      <w:ind w:hanging="360" w:start="2275" w:end="0"/>
    </w:pPr>
    <w:rPr/>
  </w:style>
  <w:style w:type="paragraph" w:styleId="ListBullet5">
    <w:name w:val="List Bullet 5"/>
    <w:basedOn w:val="Normal"/>
    <w:pPr>
      <w:ind w:hanging="360" w:start="2635" w:end="0"/>
    </w:pPr>
    <w:rPr/>
  </w:style>
  <w:style w:type="paragraph" w:styleId="ListBullet">
    <w:name w:val="List Bullet"/>
    <w:basedOn w:val="Normal"/>
    <w:qFormat/>
    <w:pPr>
      <w:numPr>
        <w:ilvl w:val="0"/>
        <w:numId w:val="11"/>
      </w:numPr>
      <w:ind w:hanging="0" w:start="1195" w:end="0"/>
    </w:pPr>
    <w:rPr/>
  </w:style>
  <w:style w:type="paragraph" w:styleId="ListBullet21">
    <w:name w:val="List Bullet 21"/>
    <w:basedOn w:val="Normal"/>
    <w:qFormat/>
    <w:pPr>
      <w:numPr>
        <w:ilvl w:val="0"/>
        <w:numId w:val="9"/>
      </w:numPr>
      <w:ind w:hanging="0" w:start="1555" w:end="0"/>
    </w:pPr>
    <w:rPr/>
  </w:style>
  <w:style w:type="paragraph" w:styleId="ListBullet31">
    <w:name w:val="List Bullet 31"/>
    <w:basedOn w:val="Normal"/>
    <w:qFormat/>
    <w:pPr>
      <w:numPr>
        <w:ilvl w:val="0"/>
        <w:numId w:val="8"/>
      </w:numPr>
      <w:ind w:hanging="0" w:start="1915" w:end="0"/>
    </w:pPr>
    <w:rPr/>
  </w:style>
  <w:style w:type="paragraph" w:styleId="ListBullet41">
    <w:name w:val="List Bullet 41"/>
    <w:basedOn w:val="Normal"/>
    <w:qFormat/>
    <w:pPr>
      <w:numPr>
        <w:ilvl w:val="0"/>
        <w:numId w:val="7"/>
      </w:numPr>
      <w:ind w:hanging="0" w:start="2275" w:end="0"/>
    </w:pPr>
    <w:rPr/>
  </w:style>
  <w:style w:type="paragraph" w:styleId="ListBullet51">
    <w:name w:val="List Bullet 51"/>
    <w:basedOn w:val="Normal"/>
    <w:qFormat/>
    <w:pPr>
      <w:numPr>
        <w:ilvl w:val="0"/>
        <w:numId w:val="6"/>
      </w:numPr>
      <w:ind w:hanging="0" w:start="2635" w:end="0"/>
    </w:pPr>
    <w:rPr/>
  </w:style>
  <w:style w:type="paragraph" w:styleId="ListContinue">
    <w:name w:val="List Continue"/>
    <w:basedOn w:val="Normal"/>
    <w:qFormat/>
    <w:pPr>
      <w:spacing w:before="0" w:after="120"/>
      <w:ind w:hanging="0" w:start="1195" w:end="0"/>
    </w:pPr>
    <w:rPr/>
  </w:style>
  <w:style w:type="paragraph" w:styleId="ListContinue2">
    <w:name w:val="List Continue 2"/>
    <w:basedOn w:val="Normal"/>
    <w:qFormat/>
    <w:pPr>
      <w:spacing w:before="0" w:after="120"/>
      <w:ind w:hanging="0" w:start="1555" w:end="0"/>
    </w:pPr>
    <w:rPr/>
  </w:style>
  <w:style w:type="paragraph" w:styleId="ListContinue3">
    <w:name w:val="List Continue 3"/>
    <w:basedOn w:val="Normal"/>
    <w:qFormat/>
    <w:pPr>
      <w:spacing w:before="0" w:after="120"/>
      <w:ind w:hanging="0" w:start="1915" w:end="0"/>
    </w:pPr>
    <w:rPr/>
  </w:style>
  <w:style w:type="paragraph" w:styleId="ListContinue4">
    <w:name w:val="List Continue 4"/>
    <w:basedOn w:val="Normal"/>
    <w:qFormat/>
    <w:pPr>
      <w:spacing w:before="0" w:after="120"/>
      <w:ind w:hanging="0" w:start="2275" w:end="0"/>
    </w:pPr>
    <w:rPr/>
  </w:style>
  <w:style w:type="paragraph" w:styleId="ListContinue5">
    <w:name w:val="List Continue 5"/>
    <w:basedOn w:val="Normal"/>
    <w:qFormat/>
    <w:pPr>
      <w:spacing w:before="0" w:after="120"/>
      <w:ind w:hanging="0" w:start="2635" w:end="0"/>
    </w:pPr>
    <w:rPr/>
  </w:style>
  <w:style w:type="paragraph" w:styleId="ListNumber">
    <w:name w:val="List Number"/>
    <w:basedOn w:val="Normal"/>
    <w:qFormat/>
    <w:pPr>
      <w:numPr>
        <w:ilvl w:val="0"/>
        <w:numId w:val="10"/>
      </w:numPr>
      <w:ind w:hanging="0" w:start="1195" w:end="0"/>
    </w:pPr>
    <w:rPr/>
  </w:style>
  <w:style w:type="paragraph" w:styleId="ListNumber2">
    <w:name w:val="List Number 2"/>
    <w:basedOn w:val="Normal"/>
    <w:qFormat/>
    <w:pPr>
      <w:numPr>
        <w:ilvl w:val="0"/>
        <w:numId w:val="5"/>
      </w:numPr>
      <w:ind w:hanging="0" w:start="1555" w:end="0"/>
    </w:pPr>
    <w:rPr/>
  </w:style>
  <w:style w:type="paragraph" w:styleId="ListNumber3">
    <w:name w:val="List Number 3"/>
    <w:basedOn w:val="Normal"/>
    <w:qFormat/>
    <w:pPr>
      <w:numPr>
        <w:ilvl w:val="0"/>
        <w:numId w:val="4"/>
      </w:numPr>
      <w:ind w:hanging="0" w:start="1915" w:end="0"/>
    </w:pPr>
    <w:rPr/>
  </w:style>
  <w:style w:type="paragraph" w:styleId="ListNumber4">
    <w:name w:val="List Number 4"/>
    <w:basedOn w:val="Normal"/>
    <w:qFormat/>
    <w:pPr>
      <w:numPr>
        <w:ilvl w:val="0"/>
        <w:numId w:val="3"/>
      </w:numPr>
      <w:ind w:hanging="0" w:start="2275" w:end="0"/>
    </w:pPr>
    <w:rPr/>
  </w:style>
  <w:style w:type="paragraph" w:styleId="ListNumber5">
    <w:name w:val="List Number 5"/>
    <w:basedOn w:val="Normal"/>
    <w:qFormat/>
    <w:pPr>
      <w:numPr>
        <w:ilvl w:val="0"/>
        <w:numId w:val="2"/>
      </w:numPr>
      <w:ind w:hanging="0" w:start="2635"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2001-06-27T11:23:00Z</dcterms:created>
  <dc:creator>tchapm2</dc:creator>
  <dc:description/>
  <dc:language>en-CA</dc:language>
  <cp:lastModifiedBy>tchapm2</cp:lastModifiedBy>
  <cp:lastPrinted>2001-06-26T11:16:00Z</cp:lastPrinted>
  <dcterms:modified xsi:type="dcterms:W3CDTF">2001-06-27T11:23:00Z</dcterms:modified>
  <cp:revision>2</cp:revision>
  <dc:subject/>
  <dc:title>Professional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