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January 18, 2001</w:t>
      </w:r>
    </w:p>
    <w:p>
      <w:pPr>
        <w:pStyle w:val="Normal"/>
        <w:jc w:val="both"/>
        <w:rPr/>
      </w:pPr>
      <w:r>
        <w:rPr/>
      </w:r>
    </w:p>
    <w:p>
      <w:pPr>
        <w:pStyle w:val="Normal"/>
        <w:jc w:val="both"/>
        <w:rPr/>
      </w:pPr>
      <w:r>
        <w:rPr/>
      </w:r>
    </w:p>
    <w:p>
      <w:pPr>
        <w:pStyle w:val="Normal"/>
        <w:rPr/>
      </w:pPr>
      <w:r>
        <w:rPr/>
        <w:t>I hereby resign as President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pStyle w:val="Normal"/>
        <w:jc w:val="both"/>
        <w:rPr/>
      </w:pPr>
      <w:r>
        <w:rPr/>
        <w:t>David W. Delainey</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pPr>
      <w:r>
        <w:rPr/>
      </w:r>
    </w:p>
    <w:p>
      <w:pPr>
        <w:pStyle w:val="Normal"/>
        <w:rPr/>
      </w:pPr>
      <w:r>
        <w:rPr/>
        <w:t>January 18, 2001</w:t>
      </w:r>
    </w:p>
    <w:p>
      <w:pPr>
        <w:pStyle w:val="Normal"/>
        <w:jc w:val="both"/>
        <w:rPr/>
      </w:pPr>
      <w:r>
        <w:rPr/>
      </w:r>
    </w:p>
    <w:p>
      <w:pPr>
        <w:pStyle w:val="Normal"/>
        <w:jc w:val="both"/>
        <w:rPr/>
      </w:pPr>
      <w:r>
        <w:rPr/>
      </w:r>
    </w:p>
    <w:p>
      <w:pPr>
        <w:pStyle w:val="Normal"/>
        <w:rPr/>
      </w:pPr>
      <w:r>
        <w:rPr/>
        <w:t>I hereby resign as Managing Director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pStyle w:val="Normal"/>
        <w:jc w:val="both"/>
        <w:rPr/>
      </w:pPr>
      <w:r>
        <w:rPr/>
        <w:t>Janet Dietrich</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pPr>
      <w:r>
        <w:rPr/>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Managing Director and General Counsel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pStyle w:val="Normal"/>
        <w:jc w:val="both"/>
        <w:rPr/>
      </w:pPr>
      <w:r>
        <w:rPr/>
        <w:t>Mark E. Haedicke</w:t>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jc w:val="both"/>
        <w:rPr/>
      </w:pPr>
      <w:r>
        <w:rPr/>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Managing Director and General Tax Counsel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pStyle w:val="Normal"/>
        <w:jc w:val="both"/>
        <w:rPr/>
      </w:pPr>
      <w:r>
        <w:rPr/>
        <w:t>Robert J. Hermann</w:t>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Managing Director and General Counsel, Finance and Secretary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pStyle w:val="Normal"/>
        <w:jc w:val="both"/>
        <w:rPr/>
      </w:pPr>
      <w:r>
        <w:rPr/>
        <w:t>Julia Heintz Murry</w:t>
      </w:r>
    </w:p>
    <w:p>
      <w:pPr>
        <w:sectPr>
          <w:footerReference w:type="default" r:id="rId9"/>
          <w:footerReference w:type="first" r:id="rId10"/>
          <w:type w:val="nextPage"/>
          <w:pgSz w:w="12240" w:h="15840"/>
          <w:pgMar w:left="1440" w:right="1440" w:gutter="0" w:header="0" w:top="1440" w:footer="1440" w:bottom="1496"/>
          <w:pgNumType w:fmt="decimal"/>
          <w:formProt w:val="false"/>
          <w:textDirection w:val="lrTb"/>
          <w:docGrid w:type="default" w:linePitch="360" w:charSpace="0"/>
        </w:sectPr>
        <w:pStyle w:val="Normal"/>
        <w:jc w:val="both"/>
        <w:rPr/>
      </w:pPr>
      <w:r>
        <w:rPr/>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Vice President, Finance and Treasurer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pStyle w:val="Normal"/>
        <w:jc w:val="both"/>
        <w:rPr/>
      </w:pPr>
      <w:r>
        <w:rPr/>
        <w:t>Ben F. Glisan</w:t>
      </w:r>
    </w:p>
    <w:p>
      <w:pPr>
        <w:sectPr>
          <w:footerReference w:type="default" r:id="rId11"/>
          <w:footerReference w:type="first" r:id="rId12"/>
          <w:type w:val="nextPage"/>
          <w:pgSz w:w="12240" w:h="15840"/>
          <w:pgMar w:left="1440" w:right="1440" w:gutter="0" w:header="0" w:top="1440" w:footer="1440" w:bottom="1496"/>
          <w:pgNumType w:fmt="decimal"/>
          <w:formProt w:val="false"/>
          <w:textDirection w:val="lrTb"/>
          <w:docGrid w:type="default" w:linePitch="360" w:charSpace="0"/>
        </w:sectPr>
        <w:pStyle w:val="Normal"/>
        <w:jc w:val="both"/>
        <w:rPr/>
      </w:pPr>
      <w:r>
        <w:rPr/>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Vice President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pStyle w:val="Normal"/>
        <w:jc w:val="both"/>
        <w:rPr/>
      </w:pPr>
      <w:r>
        <w:rPr/>
        <w:t>Michael J. Miller</w:t>
      </w:r>
    </w:p>
    <w:p>
      <w:pPr>
        <w:sectPr>
          <w:footerReference w:type="default" r:id="rId13"/>
          <w:footerReference w:type="first" r:id="rId14"/>
          <w:type w:val="nextPage"/>
          <w:pgSz w:w="12240" w:h="15840"/>
          <w:pgMar w:left="1440" w:right="1440" w:gutter="0" w:header="0" w:top="1440" w:footer="1440" w:bottom="1496"/>
          <w:pgNumType w:fmt="decimal"/>
          <w:formProt w:val="false"/>
          <w:textDirection w:val="lrTb"/>
          <w:docGrid w:type="default" w:linePitch="360" w:charSpace="0"/>
        </w:sectPr>
        <w:pStyle w:val="Normal"/>
        <w:jc w:val="both"/>
        <w:rPr/>
      </w:pPr>
      <w:r>
        <w:rPr/>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Deputy Corporate Secretary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sectPr>
          <w:footerReference w:type="default" r:id="rId15"/>
          <w:footerReference w:type="first" r:id="rId16"/>
          <w:type w:val="nextPage"/>
          <w:pgSz w:w="12240" w:h="15840"/>
          <w:pgMar w:left="1440" w:right="1440" w:gutter="0" w:header="0" w:top="1440" w:footer="1440" w:bottom="1496"/>
          <w:pgNumType w:fmt="decimal"/>
          <w:formProt w:val="false"/>
          <w:textDirection w:val="lrTb"/>
          <w:docGrid w:type="default" w:linePitch="360" w:charSpace="0"/>
        </w:sectPr>
        <w:pStyle w:val="Normal"/>
        <w:jc w:val="both"/>
        <w:rPr/>
      </w:pPr>
      <w:r>
        <w:rPr/>
        <w:t>Elaine V. Overturf</w:t>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Assistant Secretary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sectPr>
          <w:footerReference w:type="default" r:id="rId17"/>
          <w:footerReference w:type="first" r:id="rId18"/>
          <w:type w:val="nextPage"/>
          <w:pgSz w:w="12240" w:h="15840"/>
          <w:pgMar w:left="1440" w:right="1440" w:gutter="0" w:header="0" w:top="1440" w:footer="1440" w:bottom="1496"/>
          <w:pgNumType w:fmt="decimal"/>
          <w:formProt w:val="false"/>
          <w:textDirection w:val="lrTb"/>
          <w:docGrid w:type="default" w:linePitch="360" w:charSpace="0"/>
        </w:sectPr>
        <w:pStyle w:val="Normal"/>
        <w:jc w:val="both"/>
        <w:rPr/>
      </w:pPr>
      <w:r>
        <w:rPr/>
        <w:t>Teresa R. Callahan</w:t>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Assistant Secretary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sectPr>
          <w:footerReference w:type="default" r:id="rId19"/>
          <w:footerReference w:type="first" r:id="rId20"/>
          <w:type w:val="nextPage"/>
          <w:pgSz w:w="12240" w:h="15840"/>
          <w:pgMar w:left="1440" w:right="1440" w:gutter="0" w:header="0" w:top="1440" w:footer="1440" w:bottom="1496"/>
          <w:pgNumType w:fmt="decimal"/>
          <w:formProt w:val="false"/>
          <w:textDirection w:val="lrTb"/>
          <w:docGrid w:type="default" w:linePitch="360" w:charSpace="0"/>
        </w:sectPr>
        <w:pStyle w:val="Normal"/>
        <w:jc w:val="both"/>
        <w:rPr/>
      </w:pPr>
      <w:r>
        <w:rPr/>
        <w:t>Kate B. Cole</w:t>
      </w:r>
    </w:p>
    <w:p>
      <w:pPr>
        <w:pStyle w:val="Normal"/>
        <w:jc w:val="both"/>
        <w:rPr/>
      </w:pPr>
      <w:r>
        <w:rPr/>
        <w:t>January 18, 2001</w:t>
      </w:r>
    </w:p>
    <w:p>
      <w:pPr>
        <w:pStyle w:val="Normal"/>
        <w:jc w:val="both"/>
        <w:rPr/>
      </w:pPr>
      <w:r>
        <w:rPr/>
      </w:r>
    </w:p>
    <w:p>
      <w:pPr>
        <w:pStyle w:val="Normal"/>
        <w:jc w:val="both"/>
        <w:rPr/>
      </w:pPr>
      <w:r>
        <w:rPr/>
      </w:r>
    </w:p>
    <w:p>
      <w:pPr>
        <w:pStyle w:val="Normal"/>
        <w:rPr/>
      </w:pPr>
      <w:r>
        <w:rPr/>
        <w:t>I hereby resign as Assistant Secretary of each of (a) CA ENERGY DEVELOPMENT I, LLC, a Delaware limited liability company, and (b) CA ENERGY DEVELOPMENT II, LLC, a Delaware limited liability company, effective at 12:01 A.M., Eastern Time, on January 19, 2001, or the earlier closing of the "Transactions" under those three (3) letter agreements each dated December 27, 2000 between Enron North America Corporation and Sweetgum Energy LP, as amended, relating to the acquisition of two (2) GE-LM6000 Enhanced Sprint Dual Fuel Combustion Turbine Generator sets and one (1) ABB-generator step-up transformer.</w:t>
      </w:r>
    </w:p>
    <w:p>
      <w:pPr>
        <w:pStyle w:val="Normal"/>
        <w:jc w:val="both"/>
        <w:rPr/>
      </w:pPr>
      <w:r>
        <w:rPr/>
      </w:r>
    </w:p>
    <w:p>
      <w:pPr>
        <w:pStyle w:val="Normal"/>
        <w:jc w:val="both"/>
        <w:rPr/>
      </w:pPr>
      <w:r>
        <w:rPr/>
      </w:r>
    </w:p>
    <w:p>
      <w:pPr>
        <w:pStyle w:val="Normal"/>
        <w:jc w:val="both"/>
        <w:rPr/>
      </w:pPr>
      <w:r>
        <w:rPr/>
        <w:t>_____________________________</w:t>
      </w:r>
    </w:p>
    <w:p>
      <w:pPr>
        <w:pStyle w:val="Normal"/>
        <w:rPr/>
      </w:pPr>
      <w:r>
        <w:rPr/>
        <w:t>Denise A. Ernest</w:t>
      </w:r>
    </w:p>
    <w:sectPr>
      <w:footerReference w:type="default" r:id="rId21"/>
      <w:footerReference w:type="first" r:id="rId2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"DocNumber"</w:instrText>
    </w:r>
    <w:r>
      <w:rPr>
        <w:sz w:val="16"/>
      </w:rPr>
      <w:fldChar w:fldCharType="separate"/>
    </w:r>
    <w:r>
      <w:rPr>
        <w:sz w:val="16"/>
      </w:rPr>
      <w:t>5618643.1</w:t>
    </w:r>
    <w:r>
      <w:rPr>
        <w:sz w:val="16"/>
      </w:rPr>
      <w:fldChar w:fldCharType="end"/>
    </w:r>
  </w:p>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2001-01-19T18:58:00Z</dcterms:created>
  <dc:creator>gk00279</dc:creator>
  <dc:description/>
  <dc:language>en-CA</dc:language>
  <cp:lastModifiedBy>GFK</cp:lastModifiedBy>
  <cp:lastPrinted>2001-01-19T18:02:00Z</cp:lastPrinted>
  <dcterms:modified xsi:type="dcterms:W3CDTF">2001-01-19T21:36:00Z</dcterms:modified>
  <cp:revision>7</cp:revision>
  <dc:subject/>
  <dc:title>December 14,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060420</vt:lpwstr>
  </property>
  <property fmtid="{D5CDD505-2E9C-101B-9397-08002B2CF9AE}" pid="6" name="ClientName">
    <vt:lpwstr>INTERGEN NORTH AMERICA LP</vt:lpwstr>
  </property>
  <property fmtid="{D5CDD505-2E9C-101B-9397-08002B2CF9AE}" pid="7" name="CreationDate">
    <vt:lpwstr>1/19/2001</vt:lpwstr>
  </property>
  <property fmtid="{D5CDD505-2E9C-101B-9397-08002B2CF9AE}" pid="8" name="DocName">
    <vt:lpwstr>INTERGEN/RESIGNATIONS OF ENRON OFF &amp; MAN</vt:lpwstr>
  </property>
  <property fmtid="{D5CDD505-2E9C-101B-9397-08002B2CF9AE}" pid="9" name="DocNumber">
    <vt:lpwstr>5618643.1</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1/19/2001</vt:lpwstr>
  </property>
  <property fmtid="{D5CDD505-2E9C-101B-9397-08002B2CF9AE}" pid="13" name="MatterID">
    <vt:lpwstr>10027082</vt:lpwstr>
  </property>
  <property fmtid="{D5CDD505-2E9C-101B-9397-08002B2CF9AE}" pid="14" name="MatterName">
    <vt:lpwstr>GE TURBINES</vt:lpwstr>
  </property>
  <property fmtid="{D5CDD505-2E9C-101B-9397-08002B2CF9AE}" pid="15" name="TypistID">
    <vt:lpwstr>GK00279</vt:lpwstr>
  </property>
  <property fmtid="{D5CDD505-2E9C-101B-9397-08002B2CF9AE}" pid="16" name="TypistName">
    <vt:lpwstr>KUTZSCHBACH,GEORGE F.</vt:lpwstr>
  </property>
</Properties>
</file>