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jc w:val="center"/>
        <w:rPr>
          <w:b/>
          <w:bCs/>
          <w:sz w:val="22"/>
          <w:szCs w:val="22"/>
          <w:u w:val="single"/>
        </w:rPr>
      </w:pPr>
      <w:r>
        <w:rPr>
          <w:b/>
          <w:bCs/>
          <w:sz w:val="22"/>
          <w:szCs w:val="22"/>
          <w:u w:val="single"/>
        </w:rPr>
        <w:t>ONLINE SERVICES AND LICENSE AGREEMENT</w:t>
      </w:r>
    </w:p>
    <w:p>
      <w:pPr>
        <w:pStyle w:val="Normal"/>
        <w:widowControl/>
        <w:spacing w:before="0" w:after="0"/>
        <w:jc w:val="center"/>
        <w:rPr>
          <w:b/>
          <w:bCs/>
          <w:sz w:val="22"/>
          <w:szCs w:val="22"/>
          <w:u w:val="single"/>
        </w:rPr>
      </w:pPr>
      <w:r>
        <w:rPr>
          <w:b/>
          <w:bCs/>
          <w:sz w:val="22"/>
          <w:szCs w:val="22"/>
          <w:u w:val="single"/>
        </w:rPr>
      </w:r>
    </w:p>
    <w:p>
      <w:pPr>
        <w:pStyle w:val="Normal"/>
        <w:widowControl/>
        <w:spacing w:lineRule="exact" w:line="279"/>
        <w:rPr>
          <w:sz w:val="22"/>
          <w:szCs w:val="22"/>
        </w:rPr>
      </w:pPr>
      <w:r>
        <w:rPr>
          <w:b/>
          <w:bCs/>
          <w:sz w:val="22"/>
          <w:szCs w:val="22"/>
        </w:rPr>
        <w:t xml:space="preserve">THIS AGREEMENT </w:t>
      </w:r>
      <w:r>
        <w:rPr>
          <w:sz w:val="22"/>
          <w:szCs w:val="22"/>
        </w:rPr>
        <w:t>is effective as of the 9</w:t>
      </w:r>
      <w:r>
        <w:rPr>
          <w:sz w:val="22"/>
          <w:szCs w:val="22"/>
          <w:vertAlign w:val="superscript"/>
        </w:rPr>
        <w:t>th</w:t>
      </w:r>
      <w:r>
        <w:rPr>
          <w:sz w:val="22"/>
          <w:szCs w:val="22"/>
        </w:rPr>
        <w:t xml:space="preserve"> day of August, 2000 (the “Effective Date”) between </w:t>
      </w:r>
      <w:r>
        <w:rPr>
          <w:b/>
          <w:bCs/>
          <w:sz w:val="22"/>
          <w:szCs w:val="22"/>
        </w:rPr>
        <w:t xml:space="preserve">INTERNET SPORTS NETWORK INC., </w:t>
      </w:r>
      <w:r>
        <w:rPr>
          <w:sz w:val="22"/>
          <w:szCs w:val="22"/>
        </w:rPr>
        <w:t>a</w:t>
      </w:r>
      <w:r>
        <w:rPr>
          <w:b/>
          <w:bCs/>
          <w:sz w:val="22"/>
          <w:szCs w:val="22"/>
        </w:rPr>
        <w:t xml:space="preserve"> </w:t>
      </w:r>
      <w:r>
        <w:rPr>
          <w:sz w:val="22"/>
          <w:szCs w:val="22"/>
        </w:rPr>
        <w:t xml:space="preserve">corporation incorporated under the laws of Florida whose business address is 101 Bloor Street, Suite 200, Toronto, Ontario M5S 2Z7 (hereinafter referred to as “ISNI”) and </w:t>
      </w:r>
      <w:r>
        <w:rPr>
          <w:b/>
          <w:bCs/>
          <w:sz w:val="22"/>
          <w:szCs w:val="22"/>
        </w:rPr>
        <w:t xml:space="preserve">ENRON ONLINE INC., </w:t>
      </w:r>
      <w:r>
        <w:rPr>
          <w:sz w:val="22"/>
          <w:szCs w:val="22"/>
        </w:rPr>
        <w:t>a</w:t>
      </w:r>
      <w:r>
        <w:rPr>
          <w:b/>
          <w:bCs/>
          <w:sz w:val="22"/>
          <w:szCs w:val="22"/>
        </w:rPr>
        <w:t xml:space="preserve"> </w:t>
      </w:r>
      <w:r>
        <w:rPr>
          <w:sz w:val="22"/>
          <w:szCs w:val="22"/>
        </w:rPr>
        <w:t>corporation incorporated under the laws of          (hereinafter referred to as (“Customer”)</w:t>
      </w:r>
    </w:p>
    <w:p>
      <w:pPr>
        <w:pStyle w:val="Normal"/>
        <w:widowControl/>
        <w:ind w:firstLine="720" w:end="0"/>
        <w:rPr/>
      </w:pPr>
      <w:r>
        <w:rPr>
          <w:b/>
          <w:bCs/>
          <w:sz w:val="22"/>
          <w:szCs w:val="22"/>
        </w:rPr>
        <w:t xml:space="preserve">WHEREAS </w:t>
      </w:r>
      <w:r>
        <w:rPr>
          <w:sz w:val="22"/>
          <w:szCs w:val="22"/>
        </w:rPr>
        <w:t>ISNI posses certain expertise and know-how enabling it to develop, operate and manage sports-oriented online games and contest services for customers;</w:t>
      </w:r>
    </w:p>
    <w:p>
      <w:pPr>
        <w:pStyle w:val="Normal"/>
        <w:widowControl/>
        <w:ind w:firstLine="720" w:end="0"/>
        <w:rPr/>
      </w:pPr>
      <w:r>
        <w:rPr>
          <w:b/>
          <w:bCs/>
          <w:sz w:val="22"/>
          <w:szCs w:val="22"/>
        </w:rPr>
        <w:t>AND WHEREAS</w:t>
      </w:r>
      <w:r>
        <w:rPr>
          <w:sz w:val="22"/>
          <w:szCs w:val="22"/>
        </w:rPr>
        <w:t xml:space="preserve"> Customer operates the Customer Site (as defined below) and Customer wants ISNI to and ISNI agrees to develop, operate, manage and license to Customer an online game for use on the Customer Intranet Site;</w:t>
      </w:r>
    </w:p>
    <w:p>
      <w:pPr>
        <w:pStyle w:val="Normal"/>
        <w:widowControl/>
        <w:ind w:firstLine="720" w:end="0"/>
        <w:rPr/>
      </w:pPr>
      <w:r>
        <w:rPr>
          <w:b/>
          <w:bCs/>
          <w:sz w:val="22"/>
          <w:szCs w:val="22"/>
        </w:rPr>
        <w:t xml:space="preserve">NOW THEREFORE, </w:t>
      </w:r>
      <w:r>
        <w:rPr>
          <w:sz w:val="22"/>
          <w:szCs w:val="22"/>
        </w:rPr>
        <w:t>in consideration of the premises and the mutual covenants herein contained, the receipt and sufficiency of which is hereby agreed and acknowledged, the Parties hereto covenant and agree as follows:</w:t>
      </w:r>
    </w:p>
    <w:p>
      <w:pPr>
        <w:pStyle w:val="1ohhlegal"/>
        <w:keepLines/>
        <w:widowControl/>
        <w:spacing w:before="240" w:after="0"/>
        <w:rPr>
          <w:b/>
          <w:bCs/>
          <w:sz w:val="22"/>
          <w:szCs w:val="22"/>
        </w:rPr>
      </w:pPr>
      <w:r>
        <w:rPr>
          <w:b/>
          <w:bCs/>
          <w:sz w:val="22"/>
          <w:szCs w:val="22"/>
        </w:rPr>
        <w:t>ARTICLE ONE - DEFINITIONS AND SCHEDULES</w:t>
      </w:r>
    </w:p>
    <w:p>
      <w:pPr>
        <w:pStyle w:val="1ohhlegal"/>
        <w:keepLines/>
        <w:widowControl/>
        <w:rPr>
          <w:b/>
          <w:bCs/>
          <w:sz w:val="22"/>
          <w:szCs w:val="22"/>
        </w:rPr>
      </w:pPr>
      <w:r>
        <w:rPr>
          <w:b/>
          <w:bCs/>
          <w:sz w:val="22"/>
          <w:szCs w:val="22"/>
        </w:rPr>
      </w:r>
    </w:p>
    <w:p>
      <w:pPr>
        <w:pStyle w:val="Heading1"/>
        <w:keepNext w:val="false"/>
        <w:keepLines/>
        <w:widowControl/>
        <w:tabs>
          <w:tab w:val="clear" w:pos="720"/>
          <w:tab w:val="left" w:pos="0" w:leader="none"/>
        </w:tabs>
        <w:ind w:hanging="0" w:start="0"/>
        <w:rPr>
          <w:sz w:val="22"/>
          <w:szCs w:val="22"/>
        </w:rPr>
      </w:pPr>
      <w:r>
        <w:rPr>
          <w:sz w:val="22"/>
          <w:szCs w:val="22"/>
        </w:rPr>
        <w:t>&lt;hidden&gt;</w:t>
      </w:r>
    </w:p>
    <w:p>
      <w:pPr>
        <w:pStyle w:val="Heading2"/>
        <w:keepNext w:val="false"/>
        <w:keepLines/>
        <w:tabs>
          <w:tab w:val="clear" w:pos="720"/>
          <w:tab w:val="left" w:pos="0" w:leader="none"/>
        </w:tabs>
        <w:spacing w:before="0" w:after="0"/>
        <w:ind w:hanging="0" w:start="0"/>
        <w:rPr>
          <w:sz w:val="22"/>
          <w:szCs w:val="22"/>
        </w:rPr>
      </w:pPr>
      <w:r>
        <w:rPr>
          <w:sz w:val="22"/>
          <w:szCs w:val="22"/>
        </w:rPr>
        <w:t>Definitions.</w:t>
      </w:r>
      <w:r>
        <w:rPr>
          <w:b w:val="false"/>
          <w:bCs w:val="false"/>
          <w:sz w:val="22"/>
          <w:szCs w:val="22"/>
        </w:rPr>
        <w:t xml:space="preserve">  In this Agreement, all capitalized terms shall have the meanings set out in Schedule “A”.</w:t>
      </w:r>
    </w:p>
    <w:p>
      <w:pPr>
        <w:pStyle w:val="1ohhlegal"/>
        <w:keepNext w:val="true"/>
        <w:widowControl/>
        <w:spacing w:lineRule="exact" w:line="279" w:before="240" w:after="0"/>
        <w:rPr>
          <w:b/>
          <w:bCs/>
          <w:sz w:val="22"/>
          <w:szCs w:val="22"/>
        </w:rPr>
      </w:pPr>
      <w:r>
        <w:rPr>
          <w:b/>
          <w:bCs/>
          <w:sz w:val="22"/>
          <w:szCs w:val="22"/>
        </w:rPr>
        <w:t>ARTICLE TWO - DEVELOPMENT AND LICENSE</w:t>
      </w:r>
    </w:p>
    <w:p>
      <w:pPr>
        <w:pStyle w:val="1ohhlegal"/>
        <w:keepNext w:val="true"/>
        <w:widowControl/>
        <w:spacing w:lineRule="exact" w:line="279"/>
        <w:rPr>
          <w:b/>
          <w:bCs/>
          <w:sz w:val="22"/>
          <w:szCs w:val="22"/>
        </w:rPr>
      </w:pPr>
      <w:r>
        <w:rPr>
          <w:b/>
          <w:bCs/>
          <w:sz w:val="22"/>
          <w:szCs w:val="22"/>
        </w:rPr>
      </w:r>
    </w:p>
    <w:p>
      <w:pPr>
        <w:pStyle w:val="Heading1"/>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sz w:val="22"/>
          <w:szCs w:val="22"/>
        </w:rPr>
      </w:pPr>
      <w:r>
        <w:rPr>
          <w:sz w:val="22"/>
          <w:szCs w:val="22"/>
        </w:rPr>
        <w:t xml:space="preserve">Development of ISNI Game.  </w:t>
      </w:r>
      <w:r>
        <w:rPr>
          <w:b w:val="false"/>
          <w:bCs w:val="false"/>
          <w:sz w:val="22"/>
          <w:szCs w:val="22"/>
        </w:rPr>
        <w:t xml:space="preserve">During the term of this Agreement, ISNI will, at its sole cost and expense and in consideration of the monies payable to it hereunder, directly or through subcontractors, perform the services described in the Statement of Work agreed between the Parties for the development of the ISNI Games and ISNI Pages, in accordance with the Specifications of each Party.  ISNI shall operate, host and manage the ISNI Games in its sole discretion.  The ISNI Games shall incorporate the ISNI Content and, if agreed between the Parties, the Customer Content, including, without limitation, the appearance, “look and feel” characteristics, graphic user interface and artistic elements of the Customer Site so that the ISNI Games appears to be part of the Customer Site.  Notwithstanding anything else in this Agreement, each Party acknowledges and agrees with the other Party that each Party shall be solely responsible and liable for the accuracy, completeness and propriety of information of its Content that it provides as part of the ISNI Games.  Either Party may reject or require modification of the ISNI Content or the Customer Content if, in its sole discretion acting reasonably, it determines that such Content or any portion thereof does not conform to the other Party’s Specifications or comply with applicable laws. </w:t>
      </w:r>
    </w:p>
    <w:p>
      <w:pPr>
        <w:pStyle w:val="Heading2"/>
        <w:tabs>
          <w:tab w:val="clear" w:pos="720"/>
          <w:tab w:val="left" w:pos="0" w:leader="none"/>
        </w:tabs>
        <w:ind w:hanging="0" w:start="0"/>
        <w:rPr>
          <w:sz w:val="22"/>
          <w:szCs w:val="22"/>
        </w:rPr>
      </w:pPr>
      <w:r>
        <w:rPr>
          <w:sz w:val="22"/>
          <w:szCs w:val="22"/>
        </w:rPr>
        <w:t xml:space="preserve">License of ISNI Game/Content.  </w:t>
      </w:r>
      <w:r>
        <w:rPr>
          <w:b w:val="false"/>
          <w:bCs w:val="false"/>
          <w:sz w:val="22"/>
          <w:szCs w:val="22"/>
        </w:rPr>
        <w:t>During the term of this Agreement (i) each Party grants to the other Party the non-exclusive, non-transferable and fully paid up license to create Links from the Customer Site to the ISNI Pages on the ISNI Site for purpose of accessing the ISNI Games; (ii) ISNI grants to Customer a non-exclusive, non-transferable and fully paid up license to use and market the ISNI Games; and (iii) Customer grants ISNI the non-exclusive, non-transferable and fully paid up license to use, reproduce, modify, edit, copy, distribute and/or display the Customer’s Content in the ISNI Games and in ISNI’s advertising, marketing and promotional material relating to the ISNI Games or any part thereof and on any and all of its website(s).  Customer further grants to ISNI a limited license to use the Customer Content after termination for promotional portfolio purposes only.  Customer agrees that ISNI, its assignees and their licensees are not required to designate Customer or its employees or representatives as the author of any Customer Content.  Customer hereby waives and will waive and will cause each of its employees and representatives to waive in whole in favour of ISNI all rights of integrity and other moral rights which Customer of its employees or representatives may have in the Customer Content in order to permit ISNI to modify, edit and incorporate the Customer Content into the ISNI Games.  Customer shall not transfer, provide, sub-license, or otherwise make available the ISNI Games other than as expressly permitted in this Agreement.</w:t>
      </w:r>
    </w:p>
    <w:p>
      <w:pPr>
        <w:pStyle w:val="Heading2"/>
        <w:tabs>
          <w:tab w:val="clear" w:pos="720"/>
          <w:tab w:val="left" w:pos="0" w:leader="none"/>
        </w:tabs>
        <w:ind w:hanging="0" w:start="0"/>
        <w:rPr>
          <w:sz w:val="22"/>
          <w:szCs w:val="22"/>
        </w:rPr>
      </w:pPr>
      <w:r>
        <w:rPr>
          <w:sz w:val="22"/>
          <w:szCs w:val="22"/>
        </w:rPr>
        <w:t xml:space="preserve">Non-Competition.  </w:t>
      </w:r>
      <w:r>
        <w:rPr>
          <w:b w:val="false"/>
          <w:bCs w:val="false"/>
          <w:sz w:val="22"/>
          <w:szCs w:val="22"/>
        </w:rPr>
        <w:t>During the term of this Agreement, neither Customer nor any Affiliate of Customer may, directly or indirectly, operate and promote any games or contests similar to the ISNI Games or enter into any agreement with any third party for the right to operate and promote any games or contests on the Customer Site similar to the ISNI Games.  Customer acknowledges and agrees that ISNI shall not be prevented nor barred from entering into arrangements similar to this Agreement with other person including, without limitation, competitors of Customer.</w:t>
      </w:r>
    </w:p>
    <w:p>
      <w:pPr>
        <w:pStyle w:val="Normal"/>
        <w:keepNext w:val="true"/>
        <w:widowControl/>
        <w:jc w:val="center"/>
        <w:rPr>
          <w:b/>
          <w:bCs/>
          <w:sz w:val="22"/>
          <w:szCs w:val="22"/>
        </w:rPr>
      </w:pPr>
      <w:r>
        <w:rPr>
          <w:b/>
          <w:bCs/>
          <w:sz w:val="22"/>
          <w:szCs w:val="22"/>
        </w:rPr>
        <w:t>ARTICLE THREE – ADVERTISING AND MARKETING</w:t>
      </w:r>
    </w:p>
    <w:p>
      <w:pPr>
        <w:pStyle w:val="Normal"/>
        <w:keepNext w:val="true"/>
        <w:widowControl/>
        <w:spacing w:before="0" w:after="0"/>
        <w:jc w:val="center"/>
        <w:rPr>
          <w:b/>
          <w:bCs/>
          <w:sz w:val="22"/>
          <w:szCs w:val="22"/>
        </w:rPr>
      </w:pPr>
      <w:r>
        <w:rPr>
          <w:b/>
          <w:bCs/>
          <w:sz w:val="22"/>
          <w:szCs w:val="22"/>
        </w:rPr>
      </w:r>
    </w:p>
    <w:p>
      <w:pPr>
        <w:pStyle w:val="Heading1"/>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pPr>
      <w:r>
        <w:rPr>
          <w:sz w:val="22"/>
          <w:szCs w:val="22"/>
        </w:rPr>
        <w:t>Advertising.  [Customer]</w:t>
      </w:r>
      <w:r>
        <w:rPr>
          <w:b w:val="false"/>
          <w:bCs w:val="false"/>
          <w:sz w:val="22"/>
          <w:szCs w:val="22"/>
        </w:rPr>
        <w:t xml:space="preserve"> shall have the right to sell all advertising and sponsorship on the ISNI Pages. Customer agrees not to sell any advertisements for games or contests that are competitive to the ISNI Games.  ISNI reserves the right to reject any advertising or sponsorship which it, at its sole discretion, determines is in contravention of ISNI’s advertising guidelines.</w:t>
      </w:r>
    </w:p>
    <w:p>
      <w:pPr>
        <w:pStyle w:val="Normal"/>
        <w:keepNext w:val="true"/>
        <w:widowControl/>
        <w:jc w:val="center"/>
        <w:rPr>
          <w:b/>
          <w:bCs/>
          <w:sz w:val="22"/>
          <w:szCs w:val="22"/>
        </w:rPr>
      </w:pPr>
      <w:r>
        <w:rPr>
          <w:b/>
          <w:bCs/>
          <w:sz w:val="22"/>
          <w:szCs w:val="22"/>
        </w:rPr>
        <w:t>ARTICLE FOUR - PAYMENTS</w:t>
      </w:r>
    </w:p>
    <w:p>
      <w:pPr>
        <w:pStyle w:val="Normal"/>
        <w:keepNext w:val="true"/>
        <w:widowControl/>
        <w:spacing w:before="0" w:after="0"/>
        <w:jc w:val="center"/>
        <w:rPr>
          <w:b/>
          <w:bCs/>
          <w:sz w:val="22"/>
          <w:szCs w:val="22"/>
        </w:rPr>
      </w:pPr>
      <w:r>
        <w:rPr>
          <w:b/>
          <w:bCs/>
          <w:sz w:val="22"/>
          <w:szCs w:val="22"/>
        </w:rPr>
      </w:r>
    </w:p>
    <w:p>
      <w:pPr>
        <w:pStyle w:val="Heading1"/>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sz w:val="22"/>
          <w:szCs w:val="22"/>
        </w:rPr>
      </w:pPr>
      <w:r>
        <w:rPr>
          <w:sz w:val="22"/>
          <w:szCs w:val="22"/>
        </w:rPr>
        <w:t xml:space="preserve">Payments.  </w:t>
      </w:r>
      <w:r>
        <w:rPr>
          <w:b w:val="false"/>
          <w:bCs w:val="false"/>
          <w:sz w:val="22"/>
          <w:szCs w:val="22"/>
        </w:rPr>
        <w:t>The Parties have agreed to the payments in accordance with the terms and conditions set out in Schedule “F”.  All payments are in United States dollars.</w:t>
      </w:r>
    </w:p>
    <w:p>
      <w:pPr>
        <w:pStyle w:val="Normal"/>
        <w:keepNext w:val="true"/>
        <w:keepLines/>
        <w:widowControl/>
        <w:tabs>
          <w:tab w:val="clear" w:pos="720"/>
          <w:tab w:val="left" w:pos="990" w:leader="none"/>
        </w:tabs>
        <w:ind w:hanging="720" w:start="720" w:end="0"/>
        <w:jc w:val="center"/>
        <w:rPr/>
      </w:pPr>
      <w:r>
        <w:rPr>
          <w:b/>
          <w:bCs/>
          <w:color w:val="000000"/>
          <w:sz w:val="22"/>
          <w:szCs w:val="22"/>
        </w:rPr>
        <w:t xml:space="preserve">ARTICLE FIVE - </w:t>
      </w:r>
      <w:r>
        <w:rPr>
          <w:b/>
          <w:bCs/>
          <w:sz w:val="22"/>
          <w:szCs w:val="22"/>
        </w:rPr>
        <w:t>REPRESENTATIONS AND WARRANTIES</w:t>
      </w:r>
    </w:p>
    <w:p>
      <w:pPr>
        <w:pStyle w:val="Normal"/>
        <w:keepNext w:val="true"/>
        <w:keepLines/>
        <w:widowControl/>
        <w:spacing w:before="0" w:after="0"/>
        <w:ind w:hanging="720" w:start="720" w:end="0"/>
        <w:jc w:val="center"/>
        <w:rPr>
          <w:b/>
          <w:bCs/>
          <w:sz w:val="22"/>
          <w:szCs w:val="22"/>
        </w:rPr>
      </w:pPr>
      <w:r>
        <w:rPr>
          <w:b/>
          <w:bCs/>
          <w:sz w:val="22"/>
          <w:szCs w:val="22"/>
        </w:rPr>
      </w:r>
    </w:p>
    <w:p>
      <w:pPr>
        <w:pStyle w:val="Heading1"/>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sz w:val="22"/>
          <w:szCs w:val="22"/>
        </w:rPr>
      </w:pPr>
      <w:r>
        <w:rPr>
          <w:sz w:val="22"/>
          <w:szCs w:val="22"/>
        </w:rPr>
        <w:t xml:space="preserve">ISNI Representations and Warranties.  </w:t>
      </w:r>
      <w:r>
        <w:rPr>
          <w:b w:val="false"/>
          <w:bCs w:val="false"/>
          <w:sz w:val="22"/>
          <w:szCs w:val="22"/>
        </w:rPr>
        <w:t xml:space="preserve">ISNI represents and warrants to Customer that (i) it is and shall be the legal and beneficial owner or authorized licensor of all Intellectual Property Rights in the ISNI Content; and (ii) the ISNI Content and its use in the ISNI Games does not and will not infringe on any Intellectual Property Rights whatsoever of any person and the ISNI Content shall not: (a) be libelous, slanderous, defamatory, obscene, pornographic, abusive, or otherwise offensive, objectionable or unlawful; (b) give rise to civil liability; (c) constitute or encourage conduct that would constitute a criminal offense; or (d) otherwise fail to comply with any applicable laws, rules, regulations or court orders. </w:t>
      </w:r>
    </w:p>
    <w:p>
      <w:pPr>
        <w:pStyle w:val="Heading2"/>
        <w:tabs>
          <w:tab w:val="clear" w:pos="720"/>
          <w:tab w:val="left" w:pos="0" w:leader="none"/>
        </w:tabs>
        <w:ind w:hanging="0" w:start="0"/>
        <w:rPr>
          <w:sz w:val="22"/>
          <w:szCs w:val="22"/>
        </w:rPr>
      </w:pPr>
      <w:r>
        <w:rPr>
          <w:sz w:val="22"/>
          <w:szCs w:val="22"/>
        </w:rPr>
        <w:t xml:space="preserve">Customer Representations and Warranties.  </w:t>
      </w:r>
      <w:r>
        <w:rPr>
          <w:b w:val="false"/>
          <w:bCs w:val="false"/>
          <w:sz w:val="22"/>
          <w:szCs w:val="22"/>
        </w:rPr>
        <w:t>Customer hereby represents and warrants to ISNI that (i) it is and shall be the legal and beneficial owner or authorized licensor of all Intellectual Property Rights in the Customer Content; (ii) the Customer Content and its use by ISNI does not and will not infringe on any Intellectual Property Rights whatsoever of any person and the Customer Content and its use by ISNI in accordance with this Agreement is not and shall not: (a) be libelous, slanderous, defamatory, obscene, pornographic, abusive, or otherwise offensive, objectionable or unlawful; (b) give rise to civil liability; (c) constitute or encourage conduct that would constitute a criminal offense; or (d) otherwise fail to comply with any applicable laws, rules, regulations or court orders; (iii) the authors of the Customer Content have waived or will waive all moral rights which they may have therein; and (iv) it will not infringe upon any of the Intellectual Property Rights of any person or otherwise infringe, interfere with, breach, contravene, harm or damage any other rights (including any personality, confidentiality, privacy, equitable or statutory rights whatsoever) of any person in the performance of Customer’s obligations under this Agreement.</w:t>
      </w:r>
    </w:p>
    <w:p>
      <w:pPr>
        <w:pStyle w:val="Heading2"/>
        <w:tabs>
          <w:tab w:val="clear" w:pos="720"/>
          <w:tab w:val="left" w:pos="0" w:leader="none"/>
        </w:tabs>
        <w:ind w:hanging="0" w:start="0"/>
        <w:rPr>
          <w:sz w:val="22"/>
          <w:szCs w:val="22"/>
        </w:rPr>
      </w:pPr>
      <w:r>
        <w:rPr>
          <w:sz w:val="22"/>
          <w:szCs w:val="22"/>
        </w:rPr>
        <w:t xml:space="preserve">Limited Warranties.  </w:t>
      </w:r>
      <w:r>
        <w:rPr>
          <w:b w:val="false"/>
          <w:bCs w:val="false"/>
          <w:sz w:val="22"/>
          <w:szCs w:val="22"/>
        </w:rPr>
        <w:t xml:space="preserve">THE FOREGOING WARRANTIES ARE EXCLUSIVE AND ARE GIVEN AND ACCEPTED IN LIEU OF ANY AND ALL OTHER REPRESENTATIONS, WARRANTIES, COVENANTS AND CONDITIONS, EXPRESS OR IMPLIED, INCLUDING WITHOUT LIMITATION ANY OTHER IMPLIED WARRANTIES Of MERCHANTABLE QUALITY, ANY IMPLIED WARRANTIES OF FITNESS FOR A PARTICULAR PURPOSE AND ANY IMPLIED WARRANTIES ARISING FROM COURSE OF DEALING OR COURSE OF PERFORMANCE. </w:t>
      </w:r>
    </w:p>
    <w:p>
      <w:pPr>
        <w:pStyle w:val="1ohhlegal"/>
        <w:keepNext w:val="true"/>
        <w:keepLines/>
        <w:widowControl/>
        <w:spacing w:lineRule="exact" w:line="279" w:before="240" w:after="0"/>
        <w:rPr>
          <w:b/>
          <w:bCs/>
          <w:sz w:val="22"/>
          <w:szCs w:val="22"/>
        </w:rPr>
      </w:pPr>
      <w:r>
        <w:rPr>
          <w:b/>
          <w:bCs/>
          <w:sz w:val="22"/>
          <w:szCs w:val="22"/>
        </w:rPr>
        <w:t>ARTICLE SIX - OWNERSHIP AND PLAYER PROFILES</w:t>
      </w:r>
    </w:p>
    <w:p>
      <w:pPr>
        <w:pStyle w:val="1ohhlegal"/>
        <w:keepNext w:val="true"/>
        <w:keepLines/>
        <w:widowControl/>
        <w:spacing w:lineRule="exact" w:line="279"/>
        <w:rPr>
          <w:b/>
          <w:bCs/>
          <w:sz w:val="22"/>
          <w:szCs w:val="22"/>
        </w:rPr>
      </w:pPr>
      <w:r>
        <w:rPr>
          <w:b/>
          <w:bCs/>
          <w:sz w:val="22"/>
          <w:szCs w:val="22"/>
        </w:rPr>
      </w:r>
    </w:p>
    <w:p>
      <w:pPr>
        <w:pStyle w:val="Heading1"/>
        <w:keepLines/>
        <w:widowControl/>
        <w:tabs>
          <w:tab w:val="clear" w:pos="720"/>
          <w:tab w:val="left" w:pos="0" w:leader="none"/>
        </w:tabs>
        <w:ind w:hanging="0" w:start="0"/>
        <w:rPr>
          <w:sz w:val="22"/>
          <w:szCs w:val="22"/>
        </w:rPr>
      </w:pPr>
      <w:r>
        <w:rPr>
          <w:sz w:val="22"/>
          <w:szCs w:val="22"/>
        </w:rPr>
        <w:t>&lt;hidden&gt;</w:t>
      </w:r>
    </w:p>
    <w:p>
      <w:pPr>
        <w:pStyle w:val="Heading2"/>
        <w:keepLines/>
        <w:tabs>
          <w:tab w:val="clear" w:pos="720"/>
          <w:tab w:val="left" w:pos="0" w:leader="none"/>
        </w:tabs>
        <w:spacing w:before="0" w:after="0"/>
        <w:ind w:hanging="0" w:start="0"/>
        <w:rPr>
          <w:sz w:val="22"/>
          <w:szCs w:val="22"/>
        </w:rPr>
      </w:pPr>
      <w:r>
        <w:rPr>
          <w:sz w:val="22"/>
          <w:szCs w:val="22"/>
        </w:rPr>
        <w:t xml:space="preserve">Ownership.  </w:t>
      </w:r>
      <w:r>
        <w:rPr>
          <w:b w:val="false"/>
          <w:bCs w:val="false"/>
          <w:sz w:val="22"/>
          <w:szCs w:val="22"/>
        </w:rPr>
        <w:t>It is expressly acknowledged and agreed that ISNI or its licensors are the owners of the ISNI Games and the ISNI Content, and other materials created by or for ISNI hereunder or otherwise, including those incorporated into the ISNI Games (together, the “ISNI Intellectual Property”) and that Customer has no right, title or interest, whether by way of license or otherwise, in the ISNI Intellectual Property except as may be expressly provided for in this Agreement.  It is expressly acknowledged and agreed that Customer or its licensors are the owners of all Customer Content incorporated into the ISNI Games (the “Customer Intellectual Property”), and that ISNI has no right, title or interest, whether by way of license or otherwise, in the Customer Intellectual Property except as may be expressly provided for in this Agreement.</w:t>
      </w:r>
    </w:p>
    <w:p>
      <w:pPr>
        <w:pStyle w:val="1ohhlegal"/>
        <w:widowControl/>
        <w:spacing w:lineRule="exact" w:line="279" w:before="240" w:after="0"/>
        <w:rPr>
          <w:b/>
          <w:bCs/>
          <w:sz w:val="22"/>
          <w:szCs w:val="22"/>
        </w:rPr>
      </w:pPr>
      <w:r>
        <w:rPr>
          <w:b/>
          <w:bCs/>
          <w:sz w:val="22"/>
          <w:szCs w:val="22"/>
        </w:rPr>
        <w:t>ARTICLE SEVEN - TERM AND TERMINATION</w:t>
      </w:r>
    </w:p>
    <w:p>
      <w:pPr>
        <w:pStyle w:val="1ohhlegal"/>
        <w:widowControl/>
        <w:spacing w:lineRule="exact" w:line="279"/>
        <w:rPr>
          <w:b/>
          <w:bCs/>
          <w:sz w:val="22"/>
          <w:szCs w:val="22"/>
        </w:rPr>
      </w:pPr>
      <w:r>
        <w:rPr>
          <w:b/>
          <w:bCs/>
          <w:sz w:val="22"/>
          <w:szCs w:val="22"/>
        </w:rPr>
      </w:r>
    </w:p>
    <w:p>
      <w:pPr>
        <w:pStyle w:val="Heading1"/>
        <w:keepNext w:val="false"/>
        <w:widowControl/>
        <w:tabs>
          <w:tab w:val="clear" w:pos="720"/>
          <w:tab w:val="left" w:pos="0" w:leader="none"/>
        </w:tabs>
        <w:ind w:hanging="0" w:start="0"/>
        <w:rPr>
          <w:sz w:val="22"/>
          <w:szCs w:val="22"/>
        </w:rPr>
      </w:pPr>
      <w:r>
        <w:rPr>
          <w:sz w:val="22"/>
          <w:szCs w:val="22"/>
        </w:rPr>
        <w:t>&lt;hidden&gt;</w:t>
      </w:r>
    </w:p>
    <w:p>
      <w:pPr>
        <w:pStyle w:val="Heading2"/>
        <w:keepNext w:val="false"/>
        <w:tabs>
          <w:tab w:val="clear" w:pos="720"/>
          <w:tab w:val="left" w:pos="0" w:leader="none"/>
        </w:tabs>
        <w:spacing w:before="0" w:after="0"/>
        <w:ind w:hanging="0" w:start="0"/>
        <w:rPr>
          <w:sz w:val="22"/>
          <w:szCs w:val="22"/>
        </w:rPr>
      </w:pPr>
      <w:r>
        <w:rPr>
          <w:sz w:val="22"/>
          <w:szCs w:val="22"/>
        </w:rPr>
        <w:t xml:space="preserve">Term.  </w:t>
      </w:r>
      <w:r>
        <w:rPr>
          <w:b w:val="false"/>
          <w:bCs w:val="false"/>
          <w:sz w:val="22"/>
          <w:szCs w:val="22"/>
        </w:rPr>
        <w:t>This Agreement shall commence on the Effective Date and shall continue until October 31, 2000, unless terminated in accordance with the provisions of this Article 7.</w:t>
      </w:r>
    </w:p>
    <w:p>
      <w:pPr>
        <w:pStyle w:val="Heading2"/>
        <w:keepNext w:val="false"/>
        <w:tabs>
          <w:tab w:val="clear" w:pos="720"/>
          <w:tab w:val="left" w:pos="0" w:leader="none"/>
        </w:tabs>
        <w:ind w:hanging="0" w:start="0"/>
        <w:rPr>
          <w:sz w:val="22"/>
          <w:szCs w:val="22"/>
        </w:rPr>
      </w:pPr>
      <w:r>
        <w:rPr>
          <w:sz w:val="22"/>
          <w:szCs w:val="22"/>
        </w:rPr>
        <w:t xml:space="preserve">Termination Rights.  </w:t>
      </w:r>
      <w:r>
        <w:rPr>
          <w:b w:val="false"/>
          <w:bCs w:val="false"/>
          <w:sz w:val="22"/>
          <w:szCs w:val="22"/>
        </w:rPr>
        <w:t xml:space="preserve">Either Party may terminate this Agreement at any time for any reason whatsoever upon ninety (90) days written notice to other Party.  In addition, if any Party breaches any material covenant, obligation or other provision contained in this Agreement in any material respect, and such Party fails to cure such breach within ten (10) days of receipt by the other Party of written notice from such Party specifying the fact and nature of such breach, then such Party shall have the right to terminate this Agreement immediately by delivering written notice of such termination to the other Party. </w:t>
      </w:r>
    </w:p>
    <w:p>
      <w:pPr>
        <w:pStyle w:val="Heading2"/>
        <w:keepNext w:val="false"/>
        <w:tabs>
          <w:tab w:val="clear" w:pos="720"/>
          <w:tab w:val="left" w:pos="0" w:leader="none"/>
        </w:tabs>
        <w:ind w:hanging="0" w:start="0"/>
        <w:rPr>
          <w:sz w:val="22"/>
          <w:szCs w:val="22"/>
        </w:rPr>
      </w:pPr>
      <w:r>
        <w:rPr>
          <w:sz w:val="22"/>
          <w:szCs w:val="22"/>
        </w:rPr>
        <w:t xml:space="preserve">Transition on Termination.  </w:t>
      </w:r>
      <w:r>
        <w:rPr>
          <w:b w:val="false"/>
          <w:bCs w:val="false"/>
          <w:sz w:val="22"/>
          <w:szCs w:val="22"/>
        </w:rPr>
        <w:t>The Parties agree that upon termination of this Agreement, there will be a transition period of up to thirty (30) days during which the Parties will co-operate and work together in good faith to effect a smooth and orderly transition from the facilities, networks, technology, websites and services provided by each of the Parties hereunder to the separate facilities, networks, technology, websites and services required by each of the Parties after the end of the transition period.  Without limiting the generality of the foregoing, the Parties agree to co-operate and work together in good faith to complete any current round of the ISNI Games in progress as of the effective date of termination of this Agreement where practicable, continue fulfillment of all obligations to advertisers on the ISNI Pages, provided that Customer fulfill its payment obligations to ISNI, and reroute Players of the ISNI Games to other services determined by ISNI at ISNI’s sole discretion.</w:t>
      </w:r>
    </w:p>
    <w:p>
      <w:pPr>
        <w:pStyle w:val="1ohhlegal"/>
        <w:keepNext w:val="true"/>
        <w:keepLines/>
        <w:widowControl/>
        <w:spacing w:lineRule="exact" w:line="279" w:before="240" w:after="0"/>
        <w:rPr>
          <w:b/>
          <w:bCs/>
          <w:sz w:val="22"/>
          <w:szCs w:val="22"/>
        </w:rPr>
      </w:pPr>
      <w:r>
        <w:rPr>
          <w:b/>
          <w:bCs/>
          <w:sz w:val="22"/>
          <w:szCs w:val="22"/>
        </w:rPr>
        <w:t>ARTICLE EIGHT - CONFIDENTIALITY</w:t>
      </w:r>
    </w:p>
    <w:p>
      <w:pPr>
        <w:pStyle w:val="1ohhlegal"/>
        <w:keepNext w:val="true"/>
        <w:keepLines/>
        <w:widowControl/>
        <w:spacing w:lineRule="exact" w:line="279"/>
        <w:rPr>
          <w:b/>
          <w:bCs/>
          <w:sz w:val="22"/>
          <w:szCs w:val="22"/>
        </w:rPr>
      </w:pPr>
      <w:r>
        <w:rPr>
          <w:b/>
          <w:bCs/>
          <w:sz w:val="22"/>
          <w:szCs w:val="22"/>
        </w:rPr>
      </w:r>
    </w:p>
    <w:p>
      <w:pPr>
        <w:pStyle w:val="Heading1"/>
        <w:keepLines/>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sz w:val="22"/>
          <w:szCs w:val="22"/>
        </w:rPr>
      </w:pPr>
      <w:r>
        <w:rPr>
          <w:sz w:val="22"/>
          <w:szCs w:val="22"/>
        </w:rPr>
        <w:t xml:space="preserve">Confidentiality.  </w:t>
      </w:r>
      <w:r>
        <w:rPr>
          <w:b w:val="false"/>
          <w:bCs w:val="false"/>
          <w:sz w:val="22"/>
          <w:szCs w:val="22"/>
        </w:rPr>
        <w:t>Customer and ISNI agree that during the term of this Agreement, either or both Parties may come to receive Confidential Information (defined below) from the other party, and that the receiving party agrees to hold and maintain the Confidential Information in strictest confidence and in trust for the sole and exclusive benefit of the disclosing party.  Receiving party shall not use for its own benefit, publish, or otherwise disclose to others, or permit the use by others for their benefit or to the detriment of the disclosing party, any of the Confidential Information.  Receiving party shall carefully restrict access to the Confidential Information to those of its officers, directors, and employees who clearly need such access in order to participate on behalf of receiving party in the running of the Contest.  For purposes of this Agreement, "Confidential Information" shall mean: software, proprietary techniques, trade secrets, business plans, specifications, data, know-how, strategies, unpublished financial data, and like information.  Confidential Information shall also be defined broadly and shall include the following: (a) any information that has commercial value or other utility in the business of disclosing party or that disclosing party is likely to engage in: and (b) any information which, if disclosed, would be detrimental to disclosing party or its customers, whether or not such information is identified as Confidential Information.</w:t>
      </w:r>
    </w:p>
    <w:p>
      <w:pPr>
        <w:pStyle w:val="1ohhlegal"/>
        <w:keepNext w:val="true"/>
        <w:keepLines/>
        <w:widowControl/>
        <w:spacing w:lineRule="exact" w:line="279" w:before="240" w:after="0"/>
        <w:rPr>
          <w:b/>
          <w:bCs/>
          <w:sz w:val="22"/>
          <w:szCs w:val="22"/>
        </w:rPr>
      </w:pPr>
      <w:r>
        <w:rPr>
          <w:b/>
          <w:bCs/>
          <w:sz w:val="22"/>
          <w:szCs w:val="22"/>
        </w:rPr>
        <w:t>ARTICLE NINE - INDEMNITIES AND LIMITATION OF LIABILITY</w:t>
      </w:r>
    </w:p>
    <w:p>
      <w:pPr>
        <w:pStyle w:val="1ohhlegal"/>
        <w:keepNext w:val="true"/>
        <w:keepLines/>
        <w:widowControl/>
        <w:spacing w:lineRule="exact" w:line="279"/>
        <w:rPr>
          <w:b/>
          <w:bCs/>
          <w:sz w:val="22"/>
          <w:szCs w:val="22"/>
        </w:rPr>
      </w:pPr>
      <w:r>
        <w:rPr>
          <w:b/>
          <w:bCs/>
          <w:sz w:val="22"/>
          <w:szCs w:val="22"/>
        </w:rPr>
      </w:r>
    </w:p>
    <w:p>
      <w:pPr>
        <w:pStyle w:val="Heading1"/>
        <w:keepLines/>
        <w:widowControl/>
        <w:tabs>
          <w:tab w:val="clear" w:pos="720"/>
          <w:tab w:val="left" w:pos="0" w:leader="none"/>
        </w:tabs>
        <w:ind w:hanging="0" w:start="0"/>
        <w:rPr>
          <w:sz w:val="22"/>
          <w:szCs w:val="22"/>
        </w:rPr>
      </w:pPr>
      <w:r>
        <w:rPr>
          <w:sz w:val="22"/>
          <w:szCs w:val="22"/>
        </w:rPr>
        <w:t>&lt;hidden&gt;</w:t>
      </w:r>
    </w:p>
    <w:p>
      <w:pPr>
        <w:pStyle w:val="Heading2"/>
        <w:tabs>
          <w:tab w:val="clear" w:pos="720"/>
          <w:tab w:val="left" w:pos="0" w:leader="none"/>
        </w:tabs>
        <w:spacing w:before="0" w:after="0"/>
        <w:ind w:hanging="0" w:start="0"/>
        <w:rPr>
          <w:sz w:val="22"/>
          <w:szCs w:val="22"/>
        </w:rPr>
      </w:pPr>
      <w:r>
        <w:rPr>
          <w:sz w:val="22"/>
          <w:szCs w:val="22"/>
        </w:rPr>
        <w:t xml:space="preserve">Indemnity.  </w:t>
      </w:r>
      <w:r>
        <w:rPr>
          <w:b w:val="false"/>
          <w:bCs w:val="false"/>
          <w:sz w:val="22"/>
          <w:szCs w:val="22"/>
        </w:rPr>
        <w:t xml:space="preserve">Subject to the limitations set forth below, each Party (each, an “Indemnifying Party”) shall, at its own expense, indemnify, defend (or at such Parties’ option and expense, settle) and hold the other Party and any of its Affiliates and their officers, directors, employees, and agents (the “Indemnified Parties”) harmless from and against any judgment, losses, deficiencies, damages, liabilities, costs and expenses (including reasonable attorneys’ fees and expenses), finally awarded against or otherwise incurred by any such Indemnified Parties in connection with or arising from any claim, suit, action or proceeding (collectively, a “Claim”) that: </w:t>
      </w:r>
    </w:p>
    <w:p>
      <w:pPr>
        <w:pStyle w:val="Heading3"/>
        <w:tabs>
          <w:tab w:val="clear" w:pos="720"/>
          <w:tab w:val="left" w:pos="0" w:leader="none"/>
        </w:tabs>
        <w:ind w:hanging="720" w:start="1440"/>
        <w:rPr>
          <w:sz w:val="22"/>
          <w:szCs w:val="22"/>
        </w:rPr>
      </w:pPr>
      <w:r>
        <w:rPr>
          <w:sz w:val="22"/>
          <w:szCs w:val="22"/>
        </w:rPr>
        <w:t>in the case of Customer:</w:t>
      </w:r>
    </w:p>
    <w:p>
      <w:pPr>
        <w:pStyle w:val="Heading4"/>
        <w:tabs>
          <w:tab w:val="clear" w:pos="720"/>
          <w:tab w:val="left" w:pos="0" w:leader="none"/>
        </w:tabs>
        <w:ind w:hanging="720" w:start="2160"/>
        <w:rPr>
          <w:sz w:val="22"/>
          <w:szCs w:val="22"/>
        </w:rPr>
      </w:pPr>
      <w:r>
        <w:rPr>
          <w:sz w:val="22"/>
          <w:szCs w:val="22"/>
        </w:rPr>
        <w:t>the breach of representations or warranties by ISNI;</w:t>
      </w:r>
    </w:p>
    <w:p>
      <w:pPr>
        <w:pStyle w:val="Heading4"/>
        <w:tabs>
          <w:tab w:val="clear" w:pos="720"/>
          <w:tab w:val="left" w:pos="0" w:leader="none"/>
        </w:tabs>
        <w:ind w:hanging="720" w:start="2160"/>
        <w:rPr>
          <w:sz w:val="22"/>
          <w:szCs w:val="22"/>
        </w:rPr>
      </w:pPr>
      <w:r>
        <w:rPr>
          <w:sz w:val="22"/>
          <w:szCs w:val="22"/>
        </w:rPr>
        <w:t>the use of the ISNI Games infringes upon or constitutes a misappropriation of Intellectual Property Rights of any third party, or is a breach of any contractual rights or obligations between ISNI and any third party; or</w:t>
      </w:r>
    </w:p>
    <w:p>
      <w:pPr>
        <w:pStyle w:val="Heading4"/>
        <w:tabs>
          <w:tab w:val="clear" w:pos="720"/>
          <w:tab w:val="left" w:pos="0" w:leader="none"/>
        </w:tabs>
        <w:ind w:hanging="720" w:start="2160"/>
        <w:rPr>
          <w:sz w:val="22"/>
          <w:szCs w:val="22"/>
        </w:rPr>
      </w:pPr>
      <w:r>
        <w:rPr>
          <w:sz w:val="22"/>
          <w:szCs w:val="22"/>
        </w:rPr>
        <w:t>the validation or confirmation of winning Players for any round of the ISNI Games has been incorrectly or improperly performed; and</w:t>
      </w:r>
    </w:p>
    <w:p>
      <w:pPr>
        <w:pStyle w:val="Heading3"/>
        <w:tabs>
          <w:tab w:val="clear" w:pos="720"/>
          <w:tab w:val="left" w:pos="0" w:leader="none"/>
        </w:tabs>
        <w:ind w:hanging="720" w:start="1440"/>
        <w:rPr>
          <w:sz w:val="22"/>
          <w:szCs w:val="22"/>
        </w:rPr>
      </w:pPr>
      <w:r>
        <w:rPr>
          <w:sz w:val="22"/>
          <w:szCs w:val="22"/>
        </w:rPr>
        <w:t>in the case of ISNI:</w:t>
      </w:r>
    </w:p>
    <w:p>
      <w:pPr>
        <w:pStyle w:val="Heading4"/>
        <w:tabs>
          <w:tab w:val="clear" w:pos="720"/>
          <w:tab w:val="left" w:pos="0" w:leader="none"/>
        </w:tabs>
        <w:ind w:hanging="720" w:start="2160"/>
        <w:rPr>
          <w:sz w:val="22"/>
          <w:szCs w:val="22"/>
        </w:rPr>
      </w:pPr>
      <w:r>
        <w:rPr>
          <w:sz w:val="22"/>
          <w:szCs w:val="22"/>
        </w:rPr>
        <w:t>the breach of representations or warranties by Customer;</w:t>
      </w:r>
    </w:p>
    <w:p>
      <w:pPr>
        <w:pStyle w:val="Heading4"/>
        <w:tabs>
          <w:tab w:val="clear" w:pos="720"/>
          <w:tab w:val="left" w:pos="0" w:leader="none"/>
        </w:tabs>
        <w:ind w:hanging="720" w:start="2160"/>
        <w:rPr>
          <w:sz w:val="22"/>
          <w:szCs w:val="22"/>
        </w:rPr>
      </w:pPr>
      <w:r>
        <w:rPr>
          <w:sz w:val="22"/>
          <w:szCs w:val="22"/>
        </w:rPr>
        <w:t>the use of any Customer Content infringes upon or constitutes a misappropriation of Intellectual Property Rights of any third party, or is a breach of any contractual rights or obligations between Customer and any third party; or</w:t>
      </w:r>
    </w:p>
    <w:p>
      <w:pPr>
        <w:pStyle w:val="Heading4"/>
        <w:tabs>
          <w:tab w:val="clear" w:pos="720"/>
          <w:tab w:val="left" w:pos="0" w:leader="none"/>
        </w:tabs>
        <w:ind w:hanging="720" w:start="2160"/>
        <w:rPr>
          <w:sz w:val="22"/>
          <w:szCs w:val="22"/>
        </w:rPr>
      </w:pPr>
      <w:r>
        <w:rPr>
          <w:sz w:val="22"/>
          <w:szCs w:val="22"/>
        </w:rPr>
        <w:t>that Customer failed to award a Player for winning any round of the ISNI Games in accordance with the ISNI Rules included as part of the Customer Site.</w:t>
      </w:r>
    </w:p>
    <w:p>
      <w:pPr>
        <w:pStyle w:val="Normal"/>
        <w:rPr>
          <w:sz w:val="22"/>
          <w:szCs w:val="22"/>
        </w:rPr>
      </w:pPr>
      <w:r>
        <w:rPr>
          <w:sz w:val="22"/>
          <w:szCs w:val="22"/>
        </w:rPr>
        <w:t>The Indemnifying Party shall have no obligation to the Indemnified Parties pursuant to this section unless (1) the Indemnified Parties give the Indemnifying Party prompt written notice of the Claim; (2) the Indemnifying Party is given the right to control and direct the investigation, preparation, defense and settlement of the Claim; and (3) the Indemnified Parties provide the Indemnifying Party with reasonable assistance in the defense or settlement thereof, and provided further that if any settlement results in any ongoing liability to, or prejudices or detrimentally impacts any Indemnified Parties, and such obligation, liability, prejudice or impact can reasonably be expected to be material, then such settlement shall require the written consent of the Indemnified Parties.  In connection with any such Claim, each indemnified person may have its own counsel in attendance at all public interactions and substantive negotiations at its own cost and expense.</w:t>
      </w:r>
    </w:p>
    <w:p>
      <w:pPr>
        <w:pStyle w:val="Heading2"/>
        <w:keepLines/>
        <w:tabs>
          <w:tab w:val="clear" w:pos="720"/>
          <w:tab w:val="left" w:pos="0" w:leader="none"/>
        </w:tabs>
        <w:ind w:hanging="0" w:start="0"/>
        <w:rPr>
          <w:sz w:val="22"/>
          <w:szCs w:val="22"/>
        </w:rPr>
      </w:pPr>
      <w:r>
        <w:rPr>
          <w:sz w:val="22"/>
          <w:szCs w:val="22"/>
        </w:rPr>
        <w:t xml:space="preserve">Limitation of Liability.  </w:t>
      </w:r>
      <w:r>
        <w:rPr>
          <w:b w:val="false"/>
          <w:bCs w:val="false"/>
          <w:sz w:val="22"/>
          <w:szCs w:val="22"/>
        </w:rPr>
        <w:t xml:space="preserve">The Parties agree that, except as otherwise expressly provided in this Agreement, each Party’s liability arising out of or in connection with this Agreement, whether in negligence, tort, equity, contract or otherwise, shall be subject to the following provisions: </w:t>
      </w:r>
    </w:p>
    <w:p>
      <w:pPr>
        <w:pStyle w:val="Heading3"/>
        <w:tabs>
          <w:tab w:val="clear" w:pos="720"/>
          <w:tab w:val="left" w:pos="0" w:leader="none"/>
        </w:tabs>
        <w:ind w:hanging="720" w:start="1440"/>
        <w:rPr>
          <w:sz w:val="22"/>
          <w:szCs w:val="22"/>
        </w:rPr>
      </w:pPr>
      <w:r>
        <w:rPr>
          <w:sz w:val="22"/>
          <w:szCs w:val="22"/>
        </w:rPr>
        <w:t>the Indemnifying Party’s liability pursuant to paragraphs 8.1, 9.1(a)(i) and 9.1(b)(i), as applicable, shall be unlimited; and</w:t>
      </w:r>
    </w:p>
    <w:p>
      <w:pPr>
        <w:pStyle w:val="Heading3"/>
        <w:tabs>
          <w:tab w:val="clear" w:pos="720"/>
          <w:tab w:val="left" w:pos="0" w:leader="none"/>
        </w:tabs>
        <w:ind w:hanging="720" w:start="1440"/>
        <w:rPr>
          <w:sz w:val="22"/>
          <w:szCs w:val="22"/>
        </w:rPr>
      </w:pPr>
      <w:r>
        <w:rPr>
          <w:sz w:val="22"/>
          <w:szCs w:val="22"/>
        </w:rPr>
        <w:t>Customer’s and ISNI’s liability to the other Party in all other circumstances shall be strictly limited to direct damages (which, for greater certainty, shall not include any indirect, third party, special, incidental, consequential or exemplary expenses, costs, liability, loss or damage whatsoever (even if that Party has been advised of the possibility of such damages), not to exceed the payments made under the Statement of Work paid by Customer to ISNI within the preceding twelve (12) months.</w:t>
      </w:r>
    </w:p>
    <w:p>
      <w:pPr>
        <w:pStyle w:val="1ohhlegal"/>
        <w:keepNext w:val="true"/>
        <w:widowControl/>
        <w:spacing w:lineRule="exact" w:line="279" w:before="240" w:after="0"/>
        <w:rPr>
          <w:b/>
          <w:bCs/>
          <w:sz w:val="22"/>
          <w:szCs w:val="22"/>
        </w:rPr>
      </w:pPr>
      <w:r>
        <w:rPr>
          <w:b/>
          <w:bCs/>
          <w:sz w:val="22"/>
          <w:szCs w:val="22"/>
        </w:rPr>
        <w:t>ARTICLE TEN - GENERAL</w:t>
      </w:r>
    </w:p>
    <w:p>
      <w:pPr>
        <w:pStyle w:val="1ohhlegal"/>
        <w:keepNext w:val="true"/>
        <w:widowControl/>
        <w:spacing w:lineRule="exact" w:line="279"/>
        <w:rPr>
          <w:b/>
          <w:bCs/>
          <w:sz w:val="22"/>
          <w:szCs w:val="22"/>
        </w:rPr>
      </w:pPr>
      <w:r>
        <w:rPr>
          <w:b/>
          <w:bCs/>
          <w:sz w:val="22"/>
          <w:szCs w:val="22"/>
        </w:rPr>
      </w:r>
    </w:p>
    <w:p>
      <w:pPr>
        <w:pStyle w:val="Heading1"/>
        <w:keepNext w:val="false"/>
        <w:widowControl/>
        <w:tabs>
          <w:tab w:val="clear" w:pos="720"/>
          <w:tab w:val="left" w:pos="0" w:leader="none"/>
        </w:tabs>
        <w:ind w:hanging="0" w:start="0"/>
        <w:rPr>
          <w:sz w:val="22"/>
          <w:szCs w:val="22"/>
        </w:rPr>
      </w:pPr>
      <w:r>
        <w:rPr>
          <w:sz w:val="22"/>
          <w:szCs w:val="22"/>
        </w:rPr>
        <w:t>&lt;hidden&gt;</w:t>
      </w:r>
    </w:p>
    <w:p>
      <w:pPr>
        <w:pStyle w:val="Heading2"/>
        <w:keepNext w:val="false"/>
        <w:tabs>
          <w:tab w:val="clear" w:pos="720"/>
          <w:tab w:val="left" w:pos="0" w:leader="none"/>
        </w:tabs>
        <w:spacing w:before="0" w:after="0"/>
        <w:ind w:hanging="0" w:start="0"/>
        <w:rPr>
          <w:sz w:val="22"/>
          <w:szCs w:val="22"/>
        </w:rPr>
      </w:pPr>
      <w:r>
        <w:rPr>
          <w:sz w:val="22"/>
          <w:szCs w:val="22"/>
        </w:rPr>
        <w:t xml:space="preserve">Force Majeure.  </w:t>
      </w:r>
      <w:r>
        <w:rPr>
          <w:b w:val="false"/>
          <w:bCs w:val="false"/>
          <w:sz w:val="22"/>
          <w:szCs w:val="22"/>
        </w:rPr>
        <w:t xml:space="preserve">Neither Party shall be liable for any failure or delay in its performance under this Agreement due to causes beyond its reasonable control, including but not limited to, (i) in the case of both Parties, acts of God, acts of civil or military authority, fires, epidemics, floods, earthquakes, riots, wars, sabotage, international trade embargoes labour shortages or disputes of any nature whether strike, lock-out or otherwise, and governmental actions; and (ii) also in the case of both Parties, failure of the Internet, provided that the delayed Party: (i) gives the other Party written notice of such cause promptly and in any event within fifteen (15) days of discovery thereof; and (ii) uses its reasonable efforts to correct such failure or delay in its performance.  </w:t>
      </w:r>
      <w:bookmarkStart w:id="0" w:name="_userloc"/>
      <w:bookmarkEnd w:id="0"/>
    </w:p>
    <w:p>
      <w:pPr>
        <w:pStyle w:val="Heading2"/>
        <w:keepNext w:val="false"/>
        <w:tabs>
          <w:tab w:val="clear" w:pos="720"/>
          <w:tab w:val="left" w:pos="0" w:leader="none"/>
        </w:tabs>
        <w:ind w:hanging="0" w:start="0"/>
        <w:rPr>
          <w:sz w:val="22"/>
          <w:szCs w:val="22"/>
        </w:rPr>
      </w:pPr>
      <w:r>
        <w:rPr>
          <w:sz w:val="22"/>
          <w:szCs w:val="22"/>
        </w:rPr>
        <w:t xml:space="preserve">Relationship of the Parties.  </w:t>
      </w:r>
      <w:r>
        <w:rPr>
          <w:b w:val="false"/>
          <w:bCs w:val="false"/>
          <w:sz w:val="22"/>
          <w:szCs w:val="22"/>
        </w:rPr>
        <w:t xml:space="preserve">Nothing in this Agreement shall either render, or be interpreted or construed to mean, that Customer and ISNI are either partners, joint ventures, franchisor/ franchisee, employer/employee or principal/agent of the other.  </w:t>
      </w:r>
    </w:p>
    <w:p>
      <w:pPr>
        <w:pStyle w:val="Heading2"/>
        <w:keepNext w:val="false"/>
        <w:tabs>
          <w:tab w:val="clear" w:pos="720"/>
          <w:tab w:val="left" w:pos="0" w:leader="none"/>
        </w:tabs>
        <w:ind w:hanging="0" w:start="0"/>
        <w:rPr>
          <w:sz w:val="22"/>
          <w:szCs w:val="22"/>
        </w:rPr>
      </w:pPr>
      <w:r>
        <w:rPr>
          <w:sz w:val="22"/>
          <w:szCs w:val="22"/>
        </w:rPr>
        <w:t xml:space="preserve">Assignment.  </w:t>
      </w:r>
      <w:r>
        <w:rPr>
          <w:b w:val="false"/>
          <w:bCs w:val="false"/>
          <w:sz w:val="22"/>
          <w:szCs w:val="22"/>
        </w:rPr>
        <w:t>Neither Party shall have the right to assign this Agreement to any person without the consent of the other Party.</w:t>
      </w:r>
    </w:p>
    <w:p>
      <w:pPr>
        <w:pStyle w:val="Heading2"/>
        <w:keepNext w:val="false"/>
        <w:tabs>
          <w:tab w:val="clear" w:pos="720"/>
          <w:tab w:val="left" w:pos="0" w:leader="none"/>
        </w:tabs>
        <w:ind w:hanging="0" w:start="0"/>
        <w:rPr>
          <w:sz w:val="22"/>
          <w:szCs w:val="22"/>
        </w:rPr>
      </w:pPr>
      <w:r>
        <w:rPr>
          <w:sz w:val="22"/>
          <w:szCs w:val="22"/>
        </w:rPr>
        <w:t xml:space="preserve">Notices.  </w:t>
      </w:r>
      <w:r>
        <w:rPr>
          <w:b w:val="false"/>
          <w:bCs w:val="false"/>
          <w:sz w:val="22"/>
          <w:szCs w:val="22"/>
        </w:rPr>
        <w:t>Any notice given pursuant to this Agreement shall be in writing and shall be forwarded in the manner prescribed herein to the respective Party at the address designated above.  Notice shall be given in the manner prescribed as follows: (a) by delivery, effective at the time of actual delivery; (b) by telecopier or other form of electronic communication, effective at the time of transmission; or (c) by registered mail, effective on the third business day following the deposit of such registered mail with each Party’s respective postal service.  In the event of any disruption, or threatened disruption of regular postal service notice shall not be given by mail.</w:t>
      </w:r>
    </w:p>
    <w:p>
      <w:pPr>
        <w:pStyle w:val="Heading2"/>
        <w:keepNext w:val="false"/>
        <w:tabs>
          <w:tab w:val="clear" w:pos="720"/>
          <w:tab w:val="left" w:pos="0" w:leader="none"/>
        </w:tabs>
        <w:ind w:hanging="0" w:start="0"/>
        <w:rPr>
          <w:sz w:val="22"/>
          <w:szCs w:val="22"/>
        </w:rPr>
      </w:pPr>
      <w:r>
        <w:rPr>
          <w:sz w:val="22"/>
          <w:szCs w:val="22"/>
        </w:rPr>
        <w:t xml:space="preserve">Compliance With Law.  </w:t>
      </w:r>
      <w:r>
        <w:rPr>
          <w:b w:val="false"/>
          <w:bCs w:val="false"/>
          <w:sz w:val="22"/>
          <w:szCs w:val="22"/>
        </w:rPr>
        <w:t>Each Party shall, in the performance of this Agreement, fully comply with, and abide by, all laws, regulations, regulatory rulings or directives, court orders, and decisions of administrative tribunals of competent jurisdiction, that may, in any manner or extent, concern, govern or affect either Party’s respective performance of, and obligations under, this Agreement.</w:t>
      </w:r>
    </w:p>
    <w:p>
      <w:pPr>
        <w:pStyle w:val="Heading2"/>
        <w:keepNext w:val="false"/>
        <w:tabs>
          <w:tab w:val="clear" w:pos="720"/>
          <w:tab w:val="left" w:pos="0" w:leader="none"/>
        </w:tabs>
        <w:ind w:hanging="0" w:start="0"/>
        <w:rPr>
          <w:sz w:val="22"/>
          <w:szCs w:val="22"/>
        </w:rPr>
      </w:pPr>
      <w:r>
        <w:rPr>
          <w:sz w:val="22"/>
          <w:szCs w:val="22"/>
        </w:rPr>
        <w:t xml:space="preserve">Severability and Complete Agreement.  </w:t>
      </w:r>
      <w:r>
        <w:rPr>
          <w:b w:val="false"/>
          <w:bCs w:val="false"/>
          <w:sz w:val="22"/>
          <w:szCs w:val="22"/>
        </w:rPr>
        <w:t>If for any reason a court or administrative tribunal of competent jurisdiction finds any provision of this Agreement, or portion thereof, to be unenforceable, the provision of the Agreement (or portion thereof) shall be enforced to the maximum extent permissible so as to effect the intent of the Parties, and the remainder of this Agreement shall continue in full force and effect.  This Agreement, including all Schedules attached hereto, constitutes the entire agreement between the Parties with respect to the subject matter hereof, and shall, unless otherwise incorporated by reference herein, supersede and replace all prior or contemporaneous proposals, draft or proposed written contracts, understandings or agreements, written or oral, regarding such subject matter.</w:t>
      </w:r>
    </w:p>
    <w:p>
      <w:pPr>
        <w:pStyle w:val="Heading2"/>
        <w:keepNext w:val="false"/>
        <w:tabs>
          <w:tab w:val="clear" w:pos="720"/>
          <w:tab w:val="left" w:pos="0" w:leader="none"/>
        </w:tabs>
        <w:ind w:hanging="0" w:start="0"/>
        <w:rPr>
          <w:sz w:val="22"/>
          <w:szCs w:val="22"/>
        </w:rPr>
      </w:pPr>
      <w:r>
        <w:rPr>
          <w:sz w:val="22"/>
          <w:szCs w:val="22"/>
        </w:rPr>
        <w:t xml:space="preserve">Governing Law.  </w:t>
      </w:r>
      <w:r>
        <w:rPr>
          <w:b w:val="false"/>
          <w:bCs w:val="false"/>
          <w:sz w:val="22"/>
          <w:szCs w:val="22"/>
        </w:rPr>
        <w:t>This Agreement shall be exclusively governed by, and construed in accordance with, the laws applicable in the Province of Ontario, Canada (without reference to conflicts of laws principles).  All courts within the Province of Ontario, Canada shall have the exclusive jurisdiction to adjudicate any dispute arising out of this Agreement.  Each Party hereby submits and attorns to the exclusive jurisdiction of the federal or provincial courts located in Toronto, Ontario.</w:t>
      </w:r>
    </w:p>
    <w:p>
      <w:pPr>
        <w:pStyle w:val="Heading2"/>
        <w:keepNext w:val="false"/>
        <w:tabs>
          <w:tab w:val="clear" w:pos="720"/>
          <w:tab w:val="left" w:pos="0" w:leader="none"/>
        </w:tabs>
        <w:ind w:hanging="0" w:start="0"/>
        <w:rPr>
          <w:sz w:val="22"/>
          <w:szCs w:val="22"/>
        </w:rPr>
      </w:pPr>
      <w:r>
        <w:rPr>
          <w:sz w:val="22"/>
          <w:szCs w:val="22"/>
        </w:rPr>
        <w:t xml:space="preserve">Survival of Obligations.  </w:t>
      </w:r>
      <w:r>
        <w:rPr>
          <w:b w:val="false"/>
          <w:bCs w:val="false"/>
          <w:sz w:val="22"/>
          <w:szCs w:val="22"/>
        </w:rPr>
        <w:t>The provisions of Article 4, 5, 6, 8, 9 and 10, and Sections 7.3 and this Section 10.8 shall survive termination or expiration of this Agreement.</w:t>
      </w:r>
    </w:p>
    <w:p>
      <w:pPr>
        <w:pStyle w:val="Heading2"/>
        <w:keepNext w:val="false"/>
        <w:tabs>
          <w:tab w:val="clear" w:pos="720"/>
          <w:tab w:val="left" w:pos="0" w:leader="none"/>
        </w:tabs>
        <w:ind w:hanging="0" w:start="0"/>
        <w:rPr>
          <w:sz w:val="22"/>
          <w:szCs w:val="22"/>
        </w:rPr>
      </w:pPr>
      <w:r>
        <w:rPr>
          <w:sz w:val="22"/>
          <w:szCs w:val="22"/>
        </w:rPr>
        <w:t xml:space="preserve">Counterparts.  </w:t>
      </w:r>
      <w:r>
        <w:rPr>
          <w:b w:val="false"/>
          <w:bCs w:val="false"/>
          <w:sz w:val="22"/>
          <w:szCs w:val="22"/>
        </w:rPr>
        <w:t xml:space="preserve">This Agreement may be executed in any number of counterparts, each of which when so executed and delivered shall be deemed an original and such counterparts together shall constitute one and the same instrument.  </w:t>
      </w:r>
    </w:p>
    <w:p>
      <w:pPr>
        <w:pStyle w:val="Heading2"/>
        <w:tabs>
          <w:tab w:val="clear" w:pos="720"/>
          <w:tab w:val="left" w:pos="0" w:leader="none"/>
        </w:tabs>
        <w:ind w:hanging="0" w:start="0"/>
        <w:rPr>
          <w:sz w:val="22"/>
          <w:szCs w:val="22"/>
        </w:rPr>
      </w:pPr>
      <w:r>
        <w:rPr>
          <w:sz w:val="22"/>
          <w:szCs w:val="22"/>
        </w:rPr>
        <w:t xml:space="preserve">Successors and Assigns.  </w:t>
      </w:r>
      <w:r>
        <w:rPr>
          <w:b w:val="false"/>
          <w:bCs w:val="false"/>
          <w:sz w:val="22"/>
          <w:szCs w:val="22"/>
        </w:rPr>
        <w:t>This Agreement shall ensure to the benefit of and be binding upon Customer and ISNI and, as the case may be their respective heirs, executors, administrators, successors and assigns.</w:t>
      </w:r>
    </w:p>
    <w:p>
      <w:pPr>
        <w:pStyle w:val="Normal"/>
        <w:widowControl/>
        <w:spacing w:lineRule="exact" w:line="279"/>
        <w:rPr/>
      </w:pPr>
      <w:r>
        <w:rPr>
          <w:b/>
          <w:bCs/>
          <w:sz w:val="22"/>
          <w:szCs w:val="22"/>
        </w:rPr>
        <w:t xml:space="preserve">IN WITNESS WHEREOF, </w:t>
      </w:r>
      <w:r>
        <w:rPr>
          <w:sz w:val="22"/>
          <w:szCs w:val="22"/>
        </w:rPr>
        <w:t>the Parties hereto have executed this Agreement by their duly authorized representatives as of the date first written above.</w:t>
      </w:r>
    </w:p>
    <w:p>
      <w:pPr>
        <w:pStyle w:val="Normal"/>
        <w:widowControl/>
        <w:spacing w:lineRule="exact" w:line="279"/>
        <w:rPr>
          <w:b/>
          <w:bCs/>
          <w:sz w:val="22"/>
          <w:szCs w:val="22"/>
        </w:rPr>
      </w:pPr>
      <w:r>
        <w:rPr>
          <w:b/>
          <w:bCs/>
          <w:sz w:val="22"/>
          <w:szCs w:val="22"/>
        </w:rPr>
        <w:t>INTERNET SPORTS NETWORK INC.</w:t>
        <w:tab/>
        <w:t>ENRON ONLINE INC.</w:t>
      </w:r>
    </w:p>
    <w:p>
      <w:pPr>
        <w:pStyle w:val="Normal"/>
        <w:widowControl/>
        <w:spacing w:lineRule="exact" w:line="279"/>
        <w:rPr/>
      </w:pPr>
      <w:r>
        <w:rPr>
          <w:sz w:val="22"/>
          <w:szCs w:val="22"/>
        </w:rPr>
        <w:t xml:space="preserve">By:  </w:t>
      </w:r>
      <w:r>
        <w:rPr>
          <w:sz w:val="22"/>
          <w:szCs w:val="22"/>
          <w:u w:val="single"/>
        </w:rPr>
        <w:tab/>
        <w:tab/>
        <w:tab/>
        <w:tab/>
        <w:tab/>
      </w:r>
      <w:r>
        <w:rPr>
          <w:sz w:val="22"/>
          <w:szCs w:val="22"/>
        </w:rPr>
        <w:tab/>
        <w:t xml:space="preserve">By: </w:t>
      </w:r>
      <w:r>
        <w:rPr>
          <w:sz w:val="22"/>
          <w:szCs w:val="22"/>
          <w:u w:val="single"/>
        </w:rPr>
        <w:tab/>
        <w:tab/>
        <w:tab/>
        <w:tab/>
        <w:tab/>
        <w:tab/>
      </w:r>
    </w:p>
    <w:p>
      <w:pPr>
        <w:pStyle w:val="Normal"/>
        <w:widowControl/>
        <w:spacing w:lineRule="exact" w:line="279"/>
        <w:rPr/>
      </w:pPr>
      <w:r>
        <w:rPr>
          <w:sz w:val="22"/>
          <w:szCs w:val="22"/>
        </w:rPr>
        <w:t xml:space="preserve">Name:  </w:t>
      </w:r>
      <w:r>
        <w:rPr>
          <w:sz w:val="22"/>
          <w:szCs w:val="22"/>
          <w:u w:val="single"/>
        </w:rPr>
        <w:tab/>
        <w:tab/>
        <w:tab/>
        <w:tab/>
        <w:tab/>
      </w:r>
      <w:r>
        <w:rPr>
          <w:sz w:val="22"/>
          <w:szCs w:val="22"/>
        </w:rPr>
        <w:tab/>
        <w:t xml:space="preserve">Name:  </w:t>
      </w:r>
      <w:r>
        <w:rPr>
          <w:sz w:val="22"/>
          <w:szCs w:val="22"/>
          <w:u w:val="single"/>
        </w:rPr>
        <w:tab/>
        <w:tab/>
        <w:tab/>
        <w:tab/>
        <w:tab/>
        <w:tab/>
      </w:r>
    </w:p>
    <w:p>
      <w:pPr>
        <w:pStyle w:val="Normal"/>
        <w:widowControl/>
        <w:spacing w:lineRule="exact" w:line="279"/>
        <w:rPr/>
      </w:pPr>
      <w:r>
        <w:rPr>
          <w:sz w:val="22"/>
          <w:szCs w:val="22"/>
        </w:rPr>
        <w:t xml:space="preserve">Title:  </w:t>
      </w:r>
      <w:r>
        <w:rPr>
          <w:sz w:val="22"/>
          <w:szCs w:val="22"/>
          <w:u w:val="single"/>
        </w:rPr>
        <w:tab/>
        <w:tab/>
        <w:tab/>
        <w:tab/>
        <w:tab/>
      </w:r>
      <w:r>
        <w:rPr>
          <w:sz w:val="22"/>
          <w:szCs w:val="22"/>
        </w:rPr>
        <w:tab/>
        <w:t xml:space="preserve">Title:  </w:t>
      </w:r>
      <w:r>
        <w:rPr>
          <w:sz w:val="22"/>
          <w:szCs w:val="22"/>
          <w:u w:val="single"/>
        </w:rPr>
        <w:tab/>
        <w:tab/>
        <w:tab/>
        <w:tab/>
        <w:tab/>
        <w:tab/>
      </w:r>
    </w:p>
    <w:p>
      <w:pPr>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sectPr>
        <w:pStyle w:val="Normal"/>
        <w:widowControl/>
        <w:spacing w:lineRule="exact" w:line="279"/>
        <w:rPr>
          <w:sz w:val="22"/>
          <w:szCs w:val="22"/>
          <w:u w:val="single"/>
        </w:rPr>
      </w:pPr>
      <w:r>
        <w:rPr>
          <w:sz w:val="22"/>
          <w:szCs w:val="22"/>
          <w:u w:val="single"/>
        </w:rPr>
      </w:r>
    </w:p>
    <w:p>
      <w:pPr>
        <w:pStyle w:val="Normal"/>
        <w:widowControl/>
        <w:spacing w:before="0" w:after="0"/>
        <w:jc w:val="center"/>
        <w:rPr>
          <w:b/>
          <w:bCs/>
          <w:sz w:val="19"/>
          <w:szCs w:val="19"/>
        </w:rPr>
      </w:pPr>
      <w:r>
        <w:rPr>
          <w:b/>
          <w:bCs/>
          <w:sz w:val="19"/>
          <w:szCs w:val="19"/>
        </w:rPr>
        <w:t>SCHEDULE “A”</w:t>
      </w:r>
    </w:p>
    <w:p>
      <w:pPr>
        <w:pStyle w:val="Normal"/>
        <w:widowControl/>
        <w:jc w:val="center"/>
        <w:rPr>
          <w:sz w:val="19"/>
          <w:szCs w:val="19"/>
        </w:rPr>
      </w:pPr>
      <w:r>
        <w:rPr>
          <w:b/>
          <w:bCs/>
          <w:sz w:val="19"/>
          <w:szCs w:val="19"/>
          <w:u w:val="single"/>
        </w:rPr>
        <w:t>Definitions</w:t>
      </w:r>
    </w:p>
    <w:p>
      <w:pPr>
        <w:pStyle w:val="Normal"/>
        <w:keepLines/>
        <w:widowControl/>
        <w:spacing w:before="0" w:after="60"/>
        <w:rPr>
          <w:b/>
          <w:bCs/>
          <w:sz w:val="19"/>
          <w:szCs w:val="19"/>
        </w:rPr>
      </w:pPr>
      <w:r>
        <w:rPr>
          <w:b/>
          <w:bCs/>
          <w:sz w:val="19"/>
          <w:szCs w:val="19"/>
        </w:rPr>
      </w:r>
    </w:p>
    <w:p>
      <w:pPr>
        <w:pStyle w:val="Normal"/>
        <w:keepLines/>
        <w:widowControl/>
        <w:spacing w:before="0" w:after="60"/>
        <w:rPr/>
      </w:pPr>
      <w:r>
        <w:rPr>
          <w:b/>
          <w:bCs/>
          <w:sz w:val="19"/>
          <w:szCs w:val="19"/>
        </w:rPr>
        <w:t>“</w:t>
      </w:r>
      <w:r>
        <w:rPr>
          <w:b/>
          <w:bCs/>
          <w:sz w:val="19"/>
          <w:szCs w:val="19"/>
        </w:rPr>
        <w:t>Affiliate”</w:t>
      </w:r>
      <w:r>
        <w:rPr>
          <w:sz w:val="19"/>
          <w:szCs w:val="19"/>
        </w:rPr>
        <w:t xml:space="preserve"> shall mean any corporation, company or entity that controls, is controlled by or is under common control with a Party, as the context indicates;</w:t>
      </w:r>
    </w:p>
    <w:p>
      <w:pPr>
        <w:pStyle w:val="Normal"/>
        <w:widowControl/>
        <w:spacing w:before="0" w:after="60"/>
        <w:rPr/>
      </w:pPr>
      <w:r>
        <w:rPr>
          <w:b/>
          <w:bCs/>
          <w:sz w:val="19"/>
          <w:szCs w:val="19"/>
        </w:rPr>
        <w:t>“</w:t>
      </w:r>
      <w:r>
        <w:rPr>
          <w:b/>
          <w:bCs/>
          <w:sz w:val="19"/>
          <w:szCs w:val="19"/>
        </w:rPr>
        <w:t>Agreement”</w:t>
      </w:r>
      <w:r>
        <w:rPr>
          <w:sz w:val="19"/>
          <w:szCs w:val="19"/>
        </w:rPr>
        <w:t xml:space="preserve"> shall mean this agreement and all schedules attached hereto;</w:t>
      </w:r>
    </w:p>
    <w:p>
      <w:pPr>
        <w:pStyle w:val="Normal"/>
        <w:widowControl/>
        <w:spacing w:before="0" w:after="60"/>
        <w:rPr/>
      </w:pPr>
      <w:r>
        <w:rPr>
          <w:b/>
          <w:bCs/>
          <w:sz w:val="19"/>
          <w:szCs w:val="19"/>
        </w:rPr>
        <w:t>“</w:t>
      </w:r>
      <w:r>
        <w:rPr>
          <w:b/>
          <w:bCs/>
          <w:sz w:val="19"/>
          <w:szCs w:val="19"/>
        </w:rPr>
        <w:t>Business Day”</w:t>
      </w:r>
      <w:r>
        <w:rPr>
          <w:sz w:val="19"/>
          <w:szCs w:val="19"/>
        </w:rPr>
        <w:t xml:space="preserve"> shall mean each week day, except Saturday and Sunday and statutory holidays observed in the Province of Ontario;</w:t>
      </w:r>
    </w:p>
    <w:p>
      <w:pPr>
        <w:pStyle w:val="Normal"/>
        <w:widowControl/>
        <w:spacing w:before="0" w:after="60"/>
        <w:rPr/>
      </w:pPr>
      <w:r>
        <w:rPr>
          <w:b/>
          <w:bCs/>
          <w:sz w:val="19"/>
          <w:szCs w:val="19"/>
        </w:rPr>
        <w:t>“</w:t>
      </w:r>
      <w:r>
        <w:rPr>
          <w:b/>
          <w:bCs/>
          <w:sz w:val="19"/>
          <w:szCs w:val="19"/>
        </w:rPr>
        <w:t>Confidential Information”</w:t>
      </w:r>
      <w:r>
        <w:rPr>
          <w:sz w:val="19"/>
          <w:szCs w:val="19"/>
        </w:rPr>
        <w:t xml:space="preserve"> shall have the meaning ascribed to it in section 9.1 hereof;</w:t>
      </w:r>
    </w:p>
    <w:p>
      <w:pPr>
        <w:pStyle w:val="Normal"/>
        <w:widowControl/>
        <w:spacing w:before="0" w:after="60"/>
        <w:rPr/>
      </w:pPr>
      <w:r>
        <w:rPr>
          <w:b/>
          <w:bCs/>
          <w:sz w:val="19"/>
          <w:szCs w:val="19"/>
        </w:rPr>
        <w:t>“</w:t>
      </w:r>
      <w:r>
        <w:rPr>
          <w:b/>
          <w:bCs/>
          <w:sz w:val="19"/>
          <w:szCs w:val="19"/>
        </w:rPr>
        <w:t>Customer Content”</w:t>
      </w:r>
      <w:r>
        <w:rPr>
          <w:sz w:val="19"/>
          <w:szCs w:val="19"/>
        </w:rPr>
        <w:t xml:space="preserve"> shall mean data, text, information, graphics, Links, Marks, and other material, in any form or medium whatsoever, and whether owned by Customer or by a third party, that is provided or supplied by Customer to ISNI for use as part of the ISNI Games, including advertising placed on the ISNI pages;</w:t>
      </w:r>
    </w:p>
    <w:p>
      <w:pPr>
        <w:pStyle w:val="Normal"/>
        <w:widowControl/>
        <w:spacing w:before="0" w:after="60"/>
        <w:rPr/>
      </w:pPr>
      <w:r>
        <w:rPr>
          <w:b/>
          <w:bCs/>
          <w:sz w:val="19"/>
          <w:szCs w:val="19"/>
        </w:rPr>
        <w:t>“</w:t>
      </w:r>
      <w:r>
        <w:rPr>
          <w:b/>
          <w:bCs/>
          <w:sz w:val="19"/>
          <w:szCs w:val="19"/>
        </w:rPr>
        <w:t>Customer Site”</w:t>
      </w:r>
      <w:r>
        <w:rPr>
          <w:sz w:val="19"/>
          <w:szCs w:val="19"/>
        </w:rPr>
        <w:t xml:space="preserve"> means the website(s) owned and/or operated by Customer at the URL(s) which website(s) is (are) identified in Schedule “B”, accessible to the public via the Internet, as may be amended by Customer from time to time upon prior written notice to ISNI;</w:t>
      </w:r>
    </w:p>
    <w:p>
      <w:pPr>
        <w:pStyle w:val="Normal"/>
        <w:widowControl/>
        <w:spacing w:before="0" w:after="60"/>
        <w:rPr/>
      </w:pPr>
      <w:r>
        <w:rPr>
          <w:b/>
          <w:bCs/>
          <w:sz w:val="19"/>
          <w:szCs w:val="19"/>
        </w:rPr>
        <w:t>“</w:t>
      </w:r>
      <w:r>
        <w:rPr>
          <w:b/>
          <w:bCs/>
          <w:sz w:val="19"/>
          <w:szCs w:val="19"/>
        </w:rPr>
        <w:t>GAAP”</w:t>
      </w:r>
      <w:r>
        <w:rPr>
          <w:sz w:val="19"/>
          <w:szCs w:val="19"/>
        </w:rPr>
        <w:t xml:space="preserve"> means generally accepted accounting principles applied in Canada on a consistent basis;</w:t>
      </w:r>
    </w:p>
    <w:p>
      <w:pPr>
        <w:pStyle w:val="Normal"/>
        <w:widowControl/>
        <w:spacing w:before="0" w:after="60"/>
        <w:rPr/>
      </w:pPr>
      <w:r>
        <w:rPr>
          <w:b/>
          <w:bCs/>
          <w:sz w:val="19"/>
          <w:szCs w:val="19"/>
        </w:rPr>
        <w:t>“</w:t>
      </w:r>
      <w:r>
        <w:rPr>
          <w:b/>
          <w:bCs/>
          <w:sz w:val="19"/>
          <w:szCs w:val="19"/>
        </w:rPr>
        <w:t>Intellectual Property Rights”</w:t>
      </w:r>
      <w:r>
        <w:rPr>
          <w:sz w:val="19"/>
          <w:szCs w:val="19"/>
        </w:rPr>
        <w:t xml:space="preserve"> shall mean: (i) any and all proprietary rights provided under (a) patent law, (b) copyright law, (c) trade-mark law, (d) design patent or industrial design law, (e) semi-conductor chip or mask work law, or (f) any other statutory provision or common law principle applicable to this Agreement, including trade secret law, which may provide a right in either (A) ideas, formulae, algorithms, concepts, inventions or know-how generally, or (B) the expression or use of such ideas, formulae, algorithms, concepts, inventions or know-how; and (ii) any and all applications, registrations, licenses, sub-licenses, franchises, agreements or any other evidence of a right in any of the foregoing;</w:t>
      </w:r>
    </w:p>
    <w:p>
      <w:pPr>
        <w:pStyle w:val="Normal"/>
        <w:widowControl/>
        <w:spacing w:before="0" w:after="60"/>
        <w:rPr/>
      </w:pPr>
      <w:r>
        <w:rPr>
          <w:b/>
          <w:bCs/>
          <w:sz w:val="19"/>
          <w:szCs w:val="19"/>
        </w:rPr>
        <w:t>“</w:t>
      </w:r>
      <w:r>
        <w:rPr>
          <w:b/>
          <w:bCs/>
          <w:sz w:val="19"/>
          <w:szCs w:val="19"/>
        </w:rPr>
        <w:t>ISNI Content”</w:t>
      </w:r>
      <w:r>
        <w:rPr>
          <w:sz w:val="19"/>
          <w:szCs w:val="19"/>
        </w:rPr>
        <w:t xml:space="preserve"> shall mean all Intellectual Property Rights including ISNI Technology, data, text, information, graphics, Links, Marks, and other material, in any form or medium whatsoever, and whether owned by ISNI or by a third party, that is provided or supplied by ISNI for use as part of the ISNI Games including, without limitation, the Content as set out in Schedule “C” hereto;</w:t>
      </w:r>
    </w:p>
    <w:p>
      <w:pPr>
        <w:pStyle w:val="Normal"/>
        <w:widowControl/>
        <w:spacing w:before="0" w:after="60"/>
        <w:rPr/>
      </w:pPr>
      <w:r>
        <w:rPr>
          <w:b/>
          <w:bCs/>
          <w:sz w:val="19"/>
          <w:szCs w:val="19"/>
        </w:rPr>
        <w:t>“</w:t>
      </w:r>
      <w:r>
        <w:rPr>
          <w:b/>
          <w:bCs/>
          <w:sz w:val="19"/>
          <w:szCs w:val="19"/>
        </w:rPr>
        <w:t>ISNI Games”</w:t>
      </w:r>
      <w:r>
        <w:rPr>
          <w:sz w:val="19"/>
          <w:szCs w:val="19"/>
        </w:rPr>
        <w:t xml:space="preserve"> shall mean those games and contests owned and/or licensed by ISNI which have been customized for use by Customer on the Customer Site as more particularly set out in the Statement of Work set out in Schedule “D”, which games and contests may be modified and updated from time to time in accordance with the terms of this Agreement;</w:t>
      </w:r>
    </w:p>
    <w:p>
      <w:pPr>
        <w:pStyle w:val="Normal"/>
        <w:widowControl/>
        <w:spacing w:before="0" w:after="60"/>
        <w:rPr/>
      </w:pPr>
      <w:r>
        <w:rPr>
          <w:sz w:val="19"/>
          <w:szCs w:val="19"/>
        </w:rPr>
        <w:t>“</w:t>
      </w:r>
      <w:r>
        <w:rPr>
          <w:b/>
          <w:bCs/>
          <w:sz w:val="19"/>
          <w:szCs w:val="19"/>
        </w:rPr>
        <w:t>ISNI Pages</w:t>
      </w:r>
      <w:r>
        <w:rPr>
          <w:sz w:val="19"/>
          <w:szCs w:val="19"/>
        </w:rPr>
        <w:t>” shall mean the pages forming part of the ISNI Games on the Customer Site which introduce, provide information about, provide data and search results from, and otherwise relate to, the ISNI Games, as may be updated or amended from time to time during the term of this Agreement;</w:t>
      </w:r>
    </w:p>
    <w:p>
      <w:pPr>
        <w:pStyle w:val="Normal"/>
        <w:widowControl/>
        <w:spacing w:before="0" w:after="60"/>
        <w:rPr/>
      </w:pPr>
      <w:r>
        <w:rPr>
          <w:b/>
          <w:bCs/>
          <w:sz w:val="19"/>
          <w:szCs w:val="19"/>
        </w:rPr>
        <w:t>“</w:t>
      </w:r>
      <w:r>
        <w:rPr>
          <w:b/>
          <w:bCs/>
          <w:sz w:val="19"/>
          <w:szCs w:val="19"/>
        </w:rPr>
        <w:t>ISNI Rules”</w:t>
      </w:r>
      <w:r>
        <w:rPr>
          <w:sz w:val="19"/>
          <w:szCs w:val="19"/>
        </w:rPr>
        <w:t xml:space="preserve"> shall have the meaning ascribed to it in Schedule “E” hereto;</w:t>
      </w:r>
    </w:p>
    <w:p>
      <w:pPr>
        <w:pStyle w:val="Normal"/>
        <w:widowControl/>
        <w:spacing w:before="0" w:after="60"/>
        <w:rPr/>
      </w:pPr>
      <w:r>
        <w:rPr>
          <w:b/>
          <w:bCs/>
          <w:sz w:val="19"/>
          <w:szCs w:val="19"/>
        </w:rPr>
        <w:t>“</w:t>
      </w:r>
      <w:r>
        <w:rPr>
          <w:b/>
          <w:bCs/>
          <w:sz w:val="19"/>
          <w:szCs w:val="19"/>
        </w:rPr>
        <w:t>ISNI Site”</w:t>
      </w:r>
      <w:r>
        <w:rPr>
          <w:sz w:val="19"/>
          <w:szCs w:val="19"/>
        </w:rPr>
        <w:t xml:space="preserve"> means the website(s) owned and/or operated by ISNI through which the ISNI Games are accessed, such site being Linked to the Customer Site;</w:t>
      </w:r>
    </w:p>
    <w:p>
      <w:pPr>
        <w:pStyle w:val="Normal"/>
        <w:widowControl/>
        <w:spacing w:before="0" w:after="60"/>
        <w:rPr/>
      </w:pPr>
      <w:r>
        <w:rPr>
          <w:b/>
          <w:bCs/>
          <w:sz w:val="19"/>
          <w:szCs w:val="19"/>
        </w:rPr>
        <w:t>“</w:t>
      </w:r>
      <w:r>
        <w:rPr>
          <w:b/>
          <w:bCs/>
          <w:sz w:val="19"/>
          <w:szCs w:val="19"/>
        </w:rPr>
        <w:t>ISNI Technology”</w:t>
      </w:r>
      <w:r>
        <w:rPr>
          <w:sz w:val="19"/>
          <w:szCs w:val="19"/>
        </w:rPr>
        <w:t xml:space="preserve"> shall mean all software, hardware, firmware, trade secrets, and know-how, including all Intellectual Property Rights therein, which relate to the ISNI Games including, without limitation, all technology used to create, modify, operate, distribute, update, maintain and permit Internet access to the ISNI Games, whether owned by ISNI or by a third party;</w:t>
      </w:r>
    </w:p>
    <w:p>
      <w:pPr>
        <w:pStyle w:val="Normal"/>
        <w:widowControl/>
        <w:spacing w:before="0" w:after="60"/>
        <w:rPr/>
      </w:pPr>
      <w:r>
        <w:rPr>
          <w:b/>
          <w:bCs/>
          <w:sz w:val="19"/>
          <w:szCs w:val="19"/>
        </w:rPr>
        <w:t>“</w:t>
      </w:r>
      <w:r>
        <w:rPr>
          <w:b/>
          <w:bCs/>
          <w:sz w:val="19"/>
          <w:szCs w:val="19"/>
        </w:rPr>
        <w:t>Link”</w:t>
      </w:r>
      <w:r>
        <w:rPr>
          <w:sz w:val="19"/>
          <w:szCs w:val="19"/>
        </w:rPr>
        <w:t xml:space="preserve"> shall mean a URL hidden behind a formatting option that may take the form of a coloured item of text (such as a URL description), logo, button, banner or image, and which allows a user to automatically and directly transfer to such other URL, that is, to move to or between Internet pages, sites or within a document; the term shall also include the act of moving to or between such locations as the context may require;</w:t>
      </w:r>
    </w:p>
    <w:p>
      <w:pPr>
        <w:pStyle w:val="Normal"/>
        <w:widowControl/>
        <w:spacing w:before="0" w:after="60"/>
        <w:rPr/>
      </w:pPr>
      <w:r>
        <w:rPr>
          <w:b/>
          <w:bCs/>
          <w:sz w:val="19"/>
          <w:szCs w:val="19"/>
        </w:rPr>
        <w:t>“</w:t>
      </w:r>
      <w:r>
        <w:rPr>
          <w:b/>
          <w:bCs/>
          <w:sz w:val="19"/>
          <w:szCs w:val="19"/>
        </w:rPr>
        <w:t>Mark”</w:t>
      </w:r>
      <w:r>
        <w:rPr>
          <w:sz w:val="19"/>
          <w:szCs w:val="19"/>
        </w:rPr>
        <w:t xml:space="preserve"> shall mean any trade-mark, trade name, service mark, design mark, logo, emblem, domain name, URL or other distinctive brand element (whether registered or not) used to identify Customer or ISNI or their respective products or services  (as the case may be);</w:t>
      </w:r>
    </w:p>
    <w:p>
      <w:pPr>
        <w:pStyle w:val="Normal"/>
        <w:widowControl/>
        <w:spacing w:before="0" w:after="60"/>
        <w:rPr/>
      </w:pPr>
      <w:r>
        <w:rPr>
          <w:sz w:val="19"/>
          <w:szCs w:val="19"/>
        </w:rPr>
        <w:t>“</w:t>
      </w:r>
      <w:r>
        <w:rPr>
          <w:b/>
          <w:bCs/>
          <w:sz w:val="19"/>
          <w:szCs w:val="19"/>
        </w:rPr>
        <w:t>Parties</w:t>
      </w:r>
      <w:r>
        <w:rPr>
          <w:sz w:val="19"/>
          <w:szCs w:val="19"/>
        </w:rPr>
        <w:t>” means both Customer and ISNI and “</w:t>
      </w:r>
      <w:r>
        <w:rPr>
          <w:b/>
          <w:bCs/>
          <w:sz w:val="19"/>
          <w:szCs w:val="19"/>
        </w:rPr>
        <w:t>Party</w:t>
      </w:r>
      <w:r>
        <w:rPr>
          <w:sz w:val="19"/>
          <w:szCs w:val="19"/>
        </w:rPr>
        <w:t>” means any one of them (as the context indicates);</w:t>
      </w:r>
    </w:p>
    <w:p>
      <w:pPr>
        <w:pStyle w:val="Normal"/>
        <w:widowControl/>
        <w:spacing w:before="0" w:after="60"/>
        <w:rPr/>
      </w:pPr>
      <w:r>
        <w:rPr>
          <w:b/>
          <w:bCs/>
          <w:sz w:val="19"/>
          <w:szCs w:val="19"/>
        </w:rPr>
        <w:t>“</w:t>
      </w:r>
      <w:r>
        <w:rPr>
          <w:b/>
          <w:bCs/>
          <w:sz w:val="19"/>
          <w:szCs w:val="19"/>
        </w:rPr>
        <w:t>Player”</w:t>
      </w:r>
      <w:r>
        <w:rPr>
          <w:sz w:val="19"/>
          <w:szCs w:val="19"/>
        </w:rPr>
        <w:t xml:space="preserve"> shall mean any person who is registered for and logs into the ISNI Games through the Customer Site during the term of this Agreement;</w:t>
      </w:r>
    </w:p>
    <w:p>
      <w:pPr>
        <w:pStyle w:val="Normal"/>
        <w:widowControl/>
        <w:spacing w:before="0" w:after="60"/>
        <w:rPr/>
      </w:pPr>
      <w:r>
        <w:rPr>
          <w:b/>
          <w:bCs/>
          <w:sz w:val="19"/>
          <w:szCs w:val="19"/>
        </w:rPr>
        <w:t>“</w:t>
      </w:r>
      <w:r>
        <w:rPr>
          <w:b/>
          <w:bCs/>
          <w:sz w:val="19"/>
          <w:szCs w:val="19"/>
        </w:rPr>
        <w:t>Player Profiles”</w:t>
      </w:r>
      <w:r>
        <w:rPr>
          <w:sz w:val="19"/>
          <w:szCs w:val="19"/>
        </w:rPr>
        <w:t xml:space="preserve"> shall mean all information and data obtained by ISNI through the ISNI Games registration process or through use of the ISNI Games and relating to any Player;</w:t>
      </w:r>
    </w:p>
    <w:p>
      <w:pPr>
        <w:pStyle w:val="Normal"/>
        <w:widowControl/>
        <w:spacing w:before="0" w:after="60"/>
        <w:rPr/>
      </w:pPr>
      <w:r>
        <w:rPr>
          <w:b/>
          <w:bCs/>
          <w:sz w:val="19"/>
          <w:szCs w:val="19"/>
        </w:rPr>
        <w:t>“</w:t>
      </w:r>
      <w:r>
        <w:rPr>
          <w:b/>
          <w:bCs/>
          <w:sz w:val="19"/>
          <w:szCs w:val="19"/>
        </w:rPr>
        <w:t>Service and Support Services”</w:t>
      </w:r>
      <w:r>
        <w:rPr>
          <w:sz w:val="19"/>
          <w:szCs w:val="19"/>
        </w:rPr>
        <w:t xml:space="preserve"> shall mean the development, operational, maintenance and support services and levels set out  in Schedule “F” hereto;</w:t>
      </w:r>
    </w:p>
    <w:p>
      <w:pPr>
        <w:pStyle w:val="Normal"/>
        <w:widowControl/>
        <w:spacing w:before="0" w:after="60"/>
        <w:rPr/>
      </w:pPr>
      <w:r>
        <w:rPr>
          <w:b/>
          <w:bCs/>
          <w:sz w:val="19"/>
          <w:szCs w:val="19"/>
        </w:rPr>
        <w:t>“</w:t>
      </w:r>
      <w:r>
        <w:rPr>
          <w:b/>
          <w:bCs/>
          <w:sz w:val="19"/>
          <w:szCs w:val="19"/>
        </w:rPr>
        <w:t>Specifications”</w:t>
      </w:r>
      <w:r>
        <w:rPr>
          <w:sz w:val="19"/>
          <w:szCs w:val="19"/>
        </w:rPr>
        <w:t xml:space="preserve"> means any and all technical, operational, process and functional specifications, standards and documentation for the Customer Site or the ISNI Games (as the case may be) provided by a Party to the other hereunder;</w:t>
      </w:r>
    </w:p>
    <w:p>
      <w:pPr>
        <w:pStyle w:val="Normal"/>
        <w:widowControl/>
        <w:spacing w:before="0" w:after="60"/>
        <w:rPr/>
      </w:pPr>
      <w:r>
        <w:rPr>
          <w:b/>
          <w:bCs/>
          <w:sz w:val="19"/>
          <w:szCs w:val="19"/>
        </w:rPr>
        <w:t>“</w:t>
      </w:r>
      <w:r>
        <w:rPr>
          <w:b/>
          <w:bCs/>
          <w:sz w:val="19"/>
          <w:szCs w:val="19"/>
        </w:rPr>
        <w:t>Statement of Work”</w:t>
      </w:r>
      <w:r>
        <w:rPr>
          <w:sz w:val="19"/>
          <w:szCs w:val="19"/>
        </w:rPr>
        <w:t xml:space="preserve"> means the list of deliverables to be provided by ISNI to Customer, as more particularly set out in Schedule “D” hereto, as may be amended from time to time upon mutual agreement of the Parties; and</w:t>
      </w:r>
    </w:p>
    <w:p>
      <w:pPr>
        <w:sectPr>
          <w:headerReference w:type="default" r:id="rId6"/>
          <w:headerReference w:type="first" r:id="rId7"/>
          <w:footerReference w:type="default" r:id="rId8"/>
          <w:footerReference w:type="first" r:id="rId9"/>
          <w:type w:val="nextPage"/>
          <w:pgSz w:w="12240" w:h="15840"/>
          <w:pgMar w:left="1440" w:right="1440" w:gutter="0" w:header="0" w:top="576" w:footer="0" w:bottom="432"/>
          <w:pgNumType w:fmt="decimal"/>
          <w:formProt w:val="false"/>
          <w:titlePg/>
          <w:textDirection w:val="lrTb"/>
        </w:sectPr>
        <w:pStyle w:val="Normal"/>
        <w:widowControl/>
        <w:spacing w:before="0" w:after="60"/>
        <w:rPr>
          <w:sz w:val="22"/>
          <w:szCs w:val="22"/>
        </w:rPr>
      </w:pPr>
      <w:r>
        <w:rPr>
          <w:b/>
          <w:bCs/>
          <w:sz w:val="19"/>
          <w:szCs w:val="19"/>
        </w:rPr>
        <w:t>“</w:t>
      </w:r>
      <w:r>
        <w:rPr>
          <w:b/>
          <w:bCs/>
          <w:sz w:val="19"/>
          <w:szCs w:val="19"/>
        </w:rPr>
        <w:t>URL”</w:t>
      </w:r>
      <w:r>
        <w:rPr>
          <w:sz w:val="19"/>
          <w:szCs w:val="19"/>
        </w:rPr>
        <w:t xml:space="preserve"> shall mean Universal Resource Locator, which shall design the unique internet protocol address for locating and accessing an Internet website(s) and page.</w:t>
      </w:r>
    </w:p>
    <w:p>
      <w:pPr>
        <w:pStyle w:val="Normal"/>
        <w:widowControl/>
        <w:spacing w:before="0" w:after="0"/>
        <w:jc w:val="center"/>
        <w:rPr>
          <w:b/>
          <w:bCs/>
          <w:sz w:val="22"/>
          <w:szCs w:val="22"/>
        </w:rPr>
      </w:pPr>
      <w:r>
        <w:rPr>
          <w:b/>
          <w:bCs/>
          <w:sz w:val="22"/>
          <w:szCs w:val="22"/>
        </w:rPr>
        <w:t>SCHEDULE “B”</w:t>
      </w:r>
    </w:p>
    <w:p>
      <w:pPr>
        <w:pStyle w:val="Normal"/>
        <w:jc w:val="center"/>
        <w:rPr>
          <w:b/>
          <w:bCs/>
          <w:sz w:val="22"/>
          <w:szCs w:val="22"/>
          <w:u w:val="single"/>
        </w:rPr>
      </w:pPr>
      <w:r>
        <w:rPr>
          <w:b/>
          <w:bCs/>
          <w:sz w:val="22"/>
          <w:szCs w:val="22"/>
          <w:u w:val="single"/>
        </w:rPr>
        <w:t>Description of ISNI/High 5 - Flags Game Contest</w:t>
      </w:r>
    </w:p>
    <w:p>
      <w:pPr>
        <w:pStyle w:val="Normal"/>
        <w:rPr>
          <w:b/>
          <w:bCs/>
          <w:sz w:val="22"/>
          <w:szCs w:val="22"/>
        </w:rPr>
      </w:pPr>
      <w:r>
        <w:rPr>
          <w:b/>
          <w:bCs/>
          <w:sz w:val="22"/>
          <w:szCs w:val="22"/>
        </w:rPr>
        <w:t>Duration:</w:t>
      </w:r>
    </w:p>
    <w:p>
      <w:pPr>
        <w:pStyle w:val="Normal"/>
        <w:numPr>
          <w:ilvl w:val="0"/>
          <w:numId w:val="2"/>
        </w:numPr>
        <w:tabs>
          <w:tab w:val="clear" w:pos="720"/>
          <w:tab w:val="left" w:pos="0" w:leader="none"/>
          <w:tab w:val="left" w:pos="360" w:leader="none"/>
        </w:tabs>
        <w:ind w:hanging="720" w:start="720" w:end="0"/>
        <w:rPr>
          <w:b/>
          <w:bCs/>
          <w:sz w:val="22"/>
          <w:szCs w:val="22"/>
        </w:rPr>
      </w:pPr>
      <w:r>
        <w:rPr>
          <w:sz w:val="22"/>
          <w:szCs w:val="22"/>
        </w:rPr>
        <w:t>August 28, 2000 to October 31, 2000</w:t>
      </w:r>
    </w:p>
    <w:p>
      <w:pPr>
        <w:pStyle w:val="Normal"/>
        <w:numPr>
          <w:ilvl w:val="0"/>
          <w:numId w:val="0"/>
        </w:numPr>
        <w:tabs>
          <w:tab w:val="left" w:pos="720" w:leader="none"/>
        </w:tabs>
        <w:ind w:hanging="0" w:start="0"/>
        <w:rPr>
          <w:b/>
          <w:bCs/>
          <w:sz w:val="22"/>
          <w:szCs w:val="22"/>
        </w:rPr>
      </w:pPr>
      <w:r>
        <w:rPr>
          <w:b/>
          <w:bCs/>
          <w:sz w:val="22"/>
          <w:szCs w:val="22"/>
        </w:rPr>
        <w:t>Game Description:</w:t>
      </w:r>
    </w:p>
    <w:p>
      <w:pPr>
        <w:pStyle w:val="WW-BodyText2"/>
        <w:numPr>
          <w:ilvl w:val="0"/>
          <w:numId w:val="0"/>
        </w:numPr>
        <w:ind w:hanging="0" w:start="0" w:end="0"/>
        <w:rPr>
          <w:rFonts w:ascii="Times New Roman" w:hAnsi="Times New Roman" w:eastAsia="Times New Roman" w:cs="Times New Roman"/>
          <w:sz w:val="22"/>
          <w:szCs w:val="22"/>
        </w:rPr>
      </w:pPr>
      <w:r>
        <w:rPr>
          <w:rFonts w:eastAsia="Times New Roman" w:cs="Times New Roman" w:ascii="Times New Roman" w:hAnsi="Times New Roman"/>
          <w:sz w:val="22"/>
          <w:szCs w:val="22"/>
        </w:rPr>
        <w:t>User is presented with 5 randomly drawn counties participating in the Olympic from 5 corresponding events.  The user has an option of keeping the drawn countries or re-draw for a new selection.  Select countries earn points for the user based on their performance.</w:t>
      </w:r>
    </w:p>
    <w:p>
      <w:pPr>
        <w:pStyle w:val="Normal"/>
        <w:numPr>
          <w:ilvl w:val="0"/>
          <w:numId w:val="0"/>
        </w:numPr>
        <w:ind w:hanging="0" w:start="0"/>
        <w:rPr>
          <w:b/>
          <w:bCs/>
          <w:sz w:val="22"/>
          <w:szCs w:val="22"/>
        </w:rPr>
      </w:pPr>
      <w:r>
        <w:rPr>
          <w:b/>
          <w:bCs/>
          <w:sz w:val="22"/>
          <w:szCs w:val="22"/>
        </w:rPr>
        <w:t>Description/Features: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Open for pre-registration</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User Support</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User Registration and Database System</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Private Groups / Office Pools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Group Chat</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Email Reminders &amp; Results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Weekly and Overall Standings/Leaderboard</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User Statistics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Contestant Search facility</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Offensive Word Filtering</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Password &amp; Username Reminder System</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Customized Interface Elements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Web-Form based race results entry mechanism to be used by Customer. ISNI may provide at, its sole discretion, an alternative automated results entry mechanism at no extra cost, but is under no obligation to do so.</w:t>
      </w:r>
      <w:r>
        <w:br w:type="page"/>
      </w:r>
    </w:p>
    <w:p>
      <w:pPr>
        <w:pStyle w:val="Normal"/>
        <w:numPr>
          <w:ilvl w:val="0"/>
          <w:numId w:val="0"/>
        </w:numPr>
        <w:ind w:hanging="0" w:start="0" w:end="0"/>
        <w:rPr>
          <w:b/>
          <w:bCs/>
          <w:sz w:val="22"/>
          <w:szCs w:val="22"/>
        </w:rPr>
      </w:pPr>
      <w:r>
        <w:rPr>
          <w:b/>
          <w:bCs/>
          <w:sz w:val="22"/>
          <w:szCs w:val="22"/>
        </w:rPr>
        <w:t>Customization Materials: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Contest layout template</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Contest Name</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Contest Home Page Graphics and Text</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Contest Logo Graphic</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Web Page Ad Banners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Email Ad Message (text only)</w:t>
      </w:r>
    </w:p>
    <w:p>
      <w:pPr>
        <w:pStyle w:val="Normal"/>
        <w:numPr>
          <w:ilvl w:val="0"/>
          <w:numId w:val="0"/>
        </w:numPr>
        <w:ind w:hanging="0" w:start="0"/>
        <w:rPr>
          <w:b/>
          <w:bCs/>
          <w:sz w:val="22"/>
          <w:szCs w:val="22"/>
          <w:u w:val="single"/>
        </w:rPr>
      </w:pPr>
      <w:r>
        <w:rPr>
          <w:b/>
          <w:bCs/>
          <w:sz w:val="22"/>
          <w:szCs w:val="22"/>
          <w:u w:val="single"/>
        </w:rPr>
      </w:r>
    </w:p>
    <w:p>
      <w:pPr>
        <w:pStyle w:val="Normal"/>
        <w:numPr>
          <w:ilvl w:val="0"/>
          <w:numId w:val="0"/>
        </w:numPr>
        <w:ind w:hanging="0" w:start="0"/>
        <w:rPr>
          <w:b/>
          <w:bCs/>
          <w:sz w:val="22"/>
          <w:szCs w:val="22"/>
        </w:rPr>
      </w:pPr>
      <w:r>
        <w:rPr>
          <w:b/>
          <w:bCs/>
          <w:sz w:val="22"/>
          <w:szCs w:val="22"/>
        </w:rPr>
        <w:t>Deliverables:</w:t>
      </w:r>
    </w:p>
    <w:p>
      <w:pPr>
        <w:pStyle w:val="Normal"/>
        <w:numPr>
          <w:ilvl w:val="0"/>
          <w:numId w:val="2"/>
        </w:numPr>
        <w:tabs>
          <w:tab w:val="clear" w:pos="720"/>
          <w:tab w:val="left" w:pos="0" w:leader="none"/>
          <w:tab w:val="left" w:pos="360" w:leader="none"/>
        </w:tabs>
        <w:ind w:hanging="720" w:start="720" w:end="0"/>
        <w:rPr>
          <w:sz w:val="22"/>
          <w:szCs w:val="22"/>
        </w:rPr>
      </w:pPr>
      <w:r>
        <w:rPr>
          <w:sz w:val="22"/>
          <w:szCs w:val="22"/>
        </w:rPr>
        <w:t>User Registration Data: delivered monthly, via email.</w:t>
      </w:r>
    </w:p>
    <w:p>
      <w:pPr>
        <w:pStyle w:val="Normal"/>
        <w:numPr>
          <w:ilvl w:val="0"/>
          <w:numId w:val="2"/>
        </w:numPr>
        <w:tabs>
          <w:tab w:val="clear" w:pos="720"/>
          <w:tab w:val="left" w:pos="0" w:leader="none"/>
          <w:tab w:val="left" w:pos="360" w:leader="none"/>
        </w:tabs>
        <w:ind w:hanging="360" w:start="720" w:end="0"/>
        <w:rPr>
          <w:sz w:val="22"/>
          <w:szCs w:val="22"/>
        </w:rPr>
      </w:pPr>
      <w:r>
        <w:rPr>
          <w:sz w:val="22"/>
          <w:szCs w:val="22"/>
        </w:rPr>
        <w:t>Weekly Leaders: delivered weekly, via email.</w:t>
      </w:r>
    </w:p>
    <w:p>
      <w:pPr>
        <w:pStyle w:val="Normal"/>
        <w:widowControl/>
        <w:spacing w:lineRule="exact" w:line="279" w:before="0" w:after="0"/>
        <w:ind w:firstLine="360" w:end="0"/>
        <w:rPr>
          <w:b/>
          <w:bCs/>
          <w:sz w:val="22"/>
          <w:szCs w:val="22"/>
        </w:rPr>
      </w:pPr>
      <w:r>
        <w:rPr>
          <w:sz w:val="22"/>
          <w:szCs w:val="22"/>
        </w:rPr>
        <w:t>Overall Leader Winner: delivered at the end of the contest, via email.</w:t>
      </w:r>
    </w:p>
    <w:p>
      <w:pPr>
        <w:sectPr>
          <w:headerReference w:type="default" r:id="rId10"/>
          <w:footerReference w:type="default" r:id="rId11"/>
          <w:type w:val="nextPage"/>
          <w:pgSz w:w="12240" w:h="15840"/>
          <w:pgMar w:left="1440" w:right="1440" w:gutter="0" w:header="720" w:top="1440" w:footer="720" w:bottom="1440"/>
          <w:pgNumType w:start="1" w:fmt="decimal"/>
          <w:formProt w:val="false"/>
          <w:textDirection w:val="lrTb"/>
        </w:sectPr>
        <w:pStyle w:val="Normal"/>
        <w:tabs>
          <w:tab w:val="clear" w:pos="720"/>
          <w:tab w:val="center" w:pos="4320" w:leader="none"/>
          <w:tab w:val="right" w:pos="8640" w:leader="none"/>
        </w:tabs>
        <w:spacing w:lineRule="auto" w:line="360"/>
        <w:ind w:start="-90" w:end="0"/>
        <w:rPr>
          <w:rFonts w:ascii="Arial" w:hAnsi="Arial" w:eastAsia="Arial" w:cs="Arial"/>
          <w:b/>
          <w:bCs/>
          <w:sz w:val="22"/>
          <w:szCs w:val="22"/>
        </w:rPr>
      </w:pPr>
      <w:r>
        <w:rPr>
          <w:rFonts w:eastAsia="Arial" w:cs="Arial" w:ascii="Arial" w:hAnsi="Arial"/>
          <w:b/>
          <w:bCs/>
          <w:sz w:val="22"/>
          <w:szCs w:val="22"/>
        </w:rPr>
      </w:r>
    </w:p>
    <w:p>
      <w:pPr>
        <w:pStyle w:val="Normal"/>
        <w:widowControl/>
        <w:spacing w:lineRule="exact" w:line="279" w:before="0" w:after="0"/>
        <w:jc w:val="center"/>
        <w:rPr>
          <w:sz w:val="22"/>
          <w:szCs w:val="22"/>
        </w:rPr>
      </w:pPr>
      <w:r>
        <w:rPr>
          <w:b/>
          <w:bCs/>
          <w:sz w:val="22"/>
          <w:szCs w:val="22"/>
        </w:rPr>
        <w:t>SCHEDULE “D”</w:t>
      </w:r>
    </w:p>
    <w:p>
      <w:pPr>
        <w:pStyle w:val="Normal"/>
        <w:widowControl/>
        <w:spacing w:lineRule="exact" w:line="279" w:before="0" w:after="0"/>
        <w:jc w:val="center"/>
        <w:rPr>
          <w:b/>
          <w:bCs/>
          <w:sz w:val="22"/>
          <w:szCs w:val="22"/>
        </w:rPr>
      </w:pPr>
      <w:r>
        <w:rPr>
          <w:b/>
          <w:bCs/>
          <w:sz w:val="22"/>
          <w:szCs w:val="22"/>
        </w:rPr>
      </w:r>
    </w:p>
    <w:p>
      <w:pPr>
        <w:pStyle w:val="Normal"/>
        <w:widowControl/>
        <w:spacing w:lineRule="exact" w:line="279" w:before="0" w:after="0"/>
        <w:jc w:val="center"/>
        <w:rPr>
          <w:sz w:val="22"/>
          <w:szCs w:val="22"/>
          <w:u w:val="single"/>
        </w:rPr>
      </w:pPr>
      <w:r>
        <w:rPr>
          <w:b/>
          <w:bCs/>
          <w:sz w:val="22"/>
          <w:szCs w:val="22"/>
          <w:u w:val="single"/>
        </w:rPr>
        <w:t>Statement of Work</w:t>
      </w:r>
    </w:p>
    <w:p>
      <w:pPr>
        <w:pStyle w:val="Normal"/>
        <w:widowControl/>
        <w:spacing w:lineRule="exact" w:line="279"/>
        <w:rPr>
          <w:sz w:val="22"/>
          <w:szCs w:val="22"/>
          <w:u w:val="single"/>
        </w:rPr>
      </w:pPr>
      <w:r>
        <w:rPr>
          <w:sz w:val="22"/>
          <w:szCs w:val="22"/>
          <w:u w:val="single"/>
        </w:rPr>
        <w:t>Gating System:</w:t>
      </w:r>
    </w:p>
    <w:p>
      <w:pPr>
        <w:pStyle w:val="Normal"/>
        <w:widowControl/>
        <w:spacing w:before="0" w:after="0"/>
        <w:jc w:val="start"/>
        <w:rPr>
          <w:rFonts w:ascii="Courier New" w:hAnsi="Courier New" w:eastAsia="Courier New" w:cs="Courier New"/>
          <w:sz w:val="20"/>
          <w:szCs w:val="20"/>
          <w:u w:val="single"/>
        </w:rPr>
      </w:pPr>
      <w:r>
        <w:rPr>
          <w:rFonts w:eastAsia="Courier New" w:cs="Courier New" w:ascii="Courier New" w:hAnsi="Courier New"/>
          <w:sz w:val="20"/>
          <w:szCs w:val="20"/>
          <w:u w:val="single"/>
        </w:rPr>
      </w:r>
    </w:p>
    <w:p>
      <w:pPr>
        <w:pStyle w:val="Normal"/>
        <w:widowControl/>
        <w:spacing w:before="0" w:after="0"/>
        <w:jc w:val="start"/>
        <w:rPr>
          <w:sz w:val="22"/>
          <w:szCs w:val="22"/>
        </w:rPr>
      </w:pPr>
      <w:r>
        <w:rPr>
          <w:sz w:val="22"/>
          <w:szCs w:val="22"/>
        </w:rPr>
        <w:t>To screen out certain countries presented in the game, the following system will be put in place:</w:t>
      </w:r>
    </w:p>
    <w:p>
      <w:pPr>
        <w:pStyle w:val="Normal"/>
        <w:widowControl/>
        <w:spacing w:before="0" w:after="0"/>
        <w:jc w:val="start"/>
        <w:rPr>
          <w:sz w:val="22"/>
          <w:szCs w:val="22"/>
        </w:rPr>
      </w:pPr>
      <w:r>
        <w:rPr>
          <w:sz w:val="22"/>
          <w:szCs w:val="22"/>
        </w:rPr>
      </w:r>
    </w:p>
    <w:p>
      <w:pPr>
        <w:pStyle w:val="Normal"/>
        <w:widowControl/>
        <w:spacing w:before="0" w:after="0"/>
        <w:ind w:start="90" w:end="0"/>
        <w:jc w:val="start"/>
        <w:rPr>
          <w:sz w:val="22"/>
          <w:szCs w:val="22"/>
        </w:rPr>
      </w:pPr>
      <w:r>
        <w:rPr>
          <w:sz w:val="22"/>
          <w:szCs w:val="22"/>
        </w:rPr>
        <w:t>1) Explanation on the registration page that residents of the following countries will not be able to play (link to a pop-up with the explicit restriction list)</w:t>
      </w:r>
    </w:p>
    <w:p>
      <w:pPr>
        <w:pStyle w:val="Normal"/>
        <w:widowControl/>
        <w:spacing w:before="0" w:after="0"/>
        <w:jc w:val="start"/>
        <w:rPr>
          <w:sz w:val="22"/>
          <w:szCs w:val="22"/>
        </w:rPr>
      </w:pPr>
      <w:r>
        <w:rPr>
          <w:sz w:val="22"/>
          <w:szCs w:val="22"/>
        </w:rPr>
      </w:r>
    </w:p>
    <w:p>
      <w:pPr>
        <w:pStyle w:val="Normal"/>
        <w:widowControl/>
        <w:spacing w:before="0" w:after="0"/>
        <w:ind w:start="90" w:end="0"/>
        <w:jc w:val="start"/>
        <w:rPr>
          <w:sz w:val="22"/>
          <w:szCs w:val="22"/>
        </w:rPr>
      </w:pPr>
      <w:r>
        <w:rPr>
          <w:sz w:val="22"/>
          <w:szCs w:val="22"/>
        </w:rPr>
        <w:t>2) Instead of having to type in certain restricted country, a pull down menu will be provided with all known countries, EXCLUSIVE of those that appear in (1).</w:t>
      </w:r>
    </w:p>
    <w:p>
      <w:pPr>
        <w:pStyle w:val="Normal"/>
        <w:widowControl/>
        <w:spacing w:before="0" w:after="0"/>
        <w:jc w:val="start"/>
        <w:rPr>
          <w:sz w:val="22"/>
          <w:szCs w:val="22"/>
        </w:rPr>
      </w:pPr>
      <w:r>
        <w:rPr>
          <w:sz w:val="22"/>
          <w:szCs w:val="22"/>
        </w:rPr>
      </w:r>
    </w:p>
    <w:p>
      <w:pPr>
        <w:pStyle w:val="Normal"/>
        <w:widowControl/>
        <w:spacing w:before="0" w:after="0"/>
        <w:jc w:val="start"/>
        <w:rPr>
          <w:sz w:val="22"/>
          <w:szCs w:val="22"/>
        </w:rPr>
      </w:pPr>
      <w:r>
        <w:rPr>
          <w:sz w:val="22"/>
          <w:szCs w:val="22"/>
        </w:rPr>
        <w:t>* Having a gating page requires separate development that is not very reusable, plus additional costs.</w:t>
      </w:r>
    </w:p>
    <w:p>
      <w:pPr>
        <w:pStyle w:val="Normal"/>
        <w:widowControl/>
        <w:spacing w:before="0" w:after="0"/>
        <w:jc w:val="start"/>
        <w:rPr>
          <w:rFonts w:ascii="Courier New" w:hAnsi="Courier New" w:eastAsia="Courier New" w:cs="Courier New"/>
          <w:sz w:val="22"/>
          <w:szCs w:val="22"/>
        </w:rPr>
      </w:pPr>
      <w:r>
        <w:rPr>
          <w:rFonts w:eastAsia="Courier New" w:cs="Courier New" w:ascii="Courier New" w:hAnsi="Courier New"/>
          <w:sz w:val="22"/>
          <w:szCs w:val="22"/>
        </w:rPr>
      </w:r>
    </w:p>
    <w:p>
      <w:pPr>
        <w:sectPr>
          <w:headerReference w:type="default" r:id="rId12"/>
          <w:headerReference w:type="first" r:id="rId13"/>
          <w:footerReference w:type="default" r:id="rId14"/>
          <w:footerReference w:type="first" r:id="rId15"/>
          <w:type w:val="nextPage"/>
          <w:pgSz w:w="12240" w:h="15840"/>
          <w:pgMar w:left="1440" w:right="1440" w:gutter="0" w:header="0" w:top="1440" w:footer="0" w:bottom="1440"/>
          <w:pgNumType w:fmt="decimal"/>
          <w:formProt w:val="false"/>
          <w:titlePg/>
          <w:textDirection w:val="lrTb"/>
        </w:sectPr>
        <w:pStyle w:val="Normal"/>
        <w:widowControl/>
        <w:spacing w:lineRule="exact" w:line="279"/>
        <w:rPr>
          <w:rFonts w:ascii="Courier New" w:hAnsi="Courier New" w:eastAsia="Courier New" w:cs="Courier New"/>
          <w:sz w:val="22"/>
          <w:szCs w:val="22"/>
        </w:rPr>
      </w:pPr>
      <w:r>
        <w:rPr>
          <w:rFonts w:eastAsia="Courier New" w:cs="Courier New" w:ascii="Courier New" w:hAnsi="Courier New"/>
          <w:sz w:val="22"/>
          <w:szCs w:val="22"/>
        </w:rPr>
      </w:r>
    </w:p>
    <w:p>
      <w:pPr>
        <w:pStyle w:val="Normal"/>
        <w:widowControl/>
        <w:spacing w:lineRule="exact" w:line="279" w:before="0" w:after="0"/>
        <w:jc w:val="center"/>
        <w:rPr>
          <w:sz w:val="22"/>
          <w:szCs w:val="22"/>
        </w:rPr>
      </w:pPr>
      <w:r>
        <w:rPr>
          <w:b/>
          <w:bCs/>
          <w:sz w:val="22"/>
          <w:szCs w:val="22"/>
        </w:rPr>
        <w:t>SCHEDULE “E”</w:t>
      </w:r>
    </w:p>
    <w:p>
      <w:pPr>
        <w:pStyle w:val="Normal"/>
        <w:widowControl/>
        <w:spacing w:lineRule="exact" w:line="279" w:before="0" w:after="0"/>
        <w:jc w:val="center"/>
        <w:rPr>
          <w:b/>
          <w:bCs/>
          <w:sz w:val="22"/>
          <w:szCs w:val="22"/>
        </w:rPr>
      </w:pPr>
      <w:r>
        <w:rPr>
          <w:b/>
          <w:bCs/>
          <w:sz w:val="22"/>
          <w:szCs w:val="22"/>
        </w:rPr>
      </w:r>
    </w:p>
    <w:p>
      <w:pPr>
        <w:pStyle w:val="Normal"/>
        <w:widowControl/>
        <w:spacing w:lineRule="exact" w:line="279" w:before="0" w:after="0"/>
        <w:jc w:val="center"/>
        <w:rPr>
          <w:b/>
          <w:bCs/>
          <w:sz w:val="22"/>
          <w:szCs w:val="22"/>
          <w:u w:val="single"/>
        </w:rPr>
      </w:pPr>
      <w:r>
        <w:rPr>
          <w:b/>
          <w:bCs/>
          <w:sz w:val="22"/>
          <w:szCs w:val="22"/>
          <w:u w:val="single"/>
        </w:rPr>
        <w:t>Rules</w:t>
      </w:r>
    </w:p>
    <w:p>
      <w:pPr>
        <w:pStyle w:val="Normal"/>
        <w:widowControl/>
        <w:spacing w:lineRule="exact" w:line="279" w:before="0" w:after="0"/>
        <w:jc w:val="center"/>
        <w:rPr>
          <w:b/>
          <w:bCs/>
          <w:sz w:val="22"/>
          <w:szCs w:val="22"/>
          <w:u w:val="single"/>
        </w:rPr>
      </w:pPr>
      <w:r>
        <w:rPr>
          <w:b/>
          <w:bCs/>
          <w:sz w:val="22"/>
          <w:szCs w:val="22"/>
          <w:u w:val="single"/>
        </w:rPr>
      </w:r>
    </w:p>
    <w:p>
      <w:pPr>
        <w:pStyle w:val="Heading1"/>
        <w:tabs>
          <w:tab w:val="clear" w:pos="720"/>
          <w:tab w:val="left" w:pos="0" w:leader="none"/>
        </w:tabs>
        <w:ind w:hanging="0" w:start="0"/>
        <w:rPr>
          <w:sz w:val="22"/>
          <w:szCs w:val="22"/>
          <w:u w:val="single"/>
        </w:rPr>
      </w:pPr>
      <w:r>
        <w:rPr>
          <w:sz w:val="22"/>
          <w:szCs w:val="22"/>
          <w:u w:val="single"/>
        </w:rPr>
        <w:t>Gaming Rules</w:t>
      </w:r>
    </w:p>
    <w:p>
      <w:pPr>
        <w:pStyle w:val="NormalWeb"/>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NO PURCHASE NECESSARY. VOID WHERE PROHIBITED BY LAW. CONTESTANTS RESIDING IN AREAS WHERE THE CONTEST IS VOID MAY PARTICIPATE IN THE CONTEST, BUT WILL BE INELIGIBLE TO WIN PRIZES. </w:t>
      </w:r>
    </w:p>
    <w:p>
      <w:pPr>
        <w:pStyle w:val="NormalWeb"/>
        <w:rPr/>
      </w:pPr>
      <w:r>
        <w:rPr>
          <w:rFonts w:eastAsia="Times New Roman" w:cs="Times New Roman" w:ascii="Times New Roman" w:hAnsi="Times New Roman"/>
          <w:b/>
          <w:bCs/>
          <w:sz w:val="22"/>
          <w:szCs w:val="22"/>
        </w:rPr>
        <w:t xml:space="preserve">HOW TO ENTER: </w:t>
      </w:r>
      <w:r>
        <w:rPr>
          <w:rFonts w:eastAsia="Times New Roman" w:cs="Times New Roman" w:ascii="Times New Roman" w:hAnsi="Times New Roman"/>
          <w:sz w:val="22"/>
          <w:szCs w:val="22"/>
        </w:rPr>
        <w:t xml:space="preserve">After Registering, proceed to the Enter/Change Picks page. Confirm your selections using the submit button at the bottom of the page. Follow all additional instructions listed on that page, observing all posted deadlines (see DEADLINES below). </w:t>
      </w:r>
    </w:p>
    <w:p>
      <w:pPr>
        <w:pStyle w:val="NormalWeb"/>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Enron Online, Inc., Internet Sports Network, Inc. and sponsors (hereafter collectively "Contest Providers") are not responsible for lost, late, incomplete, illegible, incomprehensible or misdirected entries, bugs, failures in servers, hardware or software transmission failure or loss, delayed or corrupted data transmission. Entries will be declared made by the authorized account holder of the e-mail address submitted at the time of entry.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 All entries become the property of Contest Providers and will not be returned to entrant. Multiple entries by the same person using one or more email accounts will result in disqualification. No mechanically or electronically reproduced entries will be accepted. All entries must be submitted from a valid email account that may be identified by reverse domain name search. Potential winner may be requested to provide Contest Providers with proof that the potential winner is the authorized account holder of the email address associated with the winning entry. Multiple entries (including electronic) by the same person will result in disqualification. </w:t>
      </w:r>
    </w:p>
    <w:p>
      <w:pPr>
        <w:pStyle w:val="NormalWeb"/>
        <w:rPr/>
      </w:pPr>
      <w:r>
        <w:rPr>
          <w:rFonts w:eastAsia="Times New Roman" w:cs="Times New Roman" w:ascii="Times New Roman" w:hAnsi="Times New Roman"/>
          <w:b/>
          <w:bCs/>
          <w:sz w:val="22"/>
          <w:szCs w:val="22"/>
        </w:rPr>
        <w:t>DEADLINES.</w:t>
      </w:r>
      <w:r>
        <w:rPr>
          <w:rFonts w:eastAsia="Times New Roman" w:cs="Times New Roman" w:ascii="Times New Roman" w:hAnsi="Times New Roman"/>
          <w:sz w:val="22"/>
          <w:szCs w:val="22"/>
        </w:rPr>
        <w:t xml:space="preserve"> The deadline for entering and/or changing submissions is posted on the Enter/Change Picks page. No submissions will be accepted after the deadline for any reason. The sole determinant of time for the purposes of the Contest will be the Contest server machine(s). Contestants entering picks close to the posted deadline do so with this information in mind. </w:t>
      </w:r>
    </w:p>
    <w:p>
      <w:pPr>
        <w:pStyle w:val="NormalWeb"/>
        <w:rPr/>
      </w:pPr>
      <w:r>
        <w:rPr>
          <w:rFonts w:eastAsia="Times New Roman" w:cs="Times New Roman" w:ascii="Times New Roman" w:hAnsi="Times New Roman"/>
          <w:b/>
          <w:bCs/>
          <w:sz w:val="22"/>
          <w:szCs w:val="22"/>
        </w:rPr>
        <w:t>GAME OF SKILL.</w:t>
      </w:r>
      <w:r>
        <w:rPr>
          <w:rFonts w:eastAsia="Times New Roman" w:cs="Times New Roman" w:ascii="Times New Roman" w:hAnsi="Times New Roman"/>
          <w:sz w:val="22"/>
          <w:szCs w:val="22"/>
        </w:rPr>
        <w:t xml:space="preserve"> This is a game of skill. Your odds of winning are affected by the number of qualified entries received. </w:t>
      </w:r>
    </w:p>
    <w:p>
      <w:pPr>
        <w:pStyle w:val="NormalWeb"/>
        <w:rPr/>
      </w:pPr>
      <w:r>
        <w:rPr>
          <w:rFonts w:eastAsia="Times New Roman" w:cs="Times New Roman" w:ascii="Times New Roman" w:hAnsi="Times New Roman"/>
          <w:b/>
          <w:bCs/>
          <w:sz w:val="22"/>
          <w:szCs w:val="22"/>
        </w:rPr>
        <w:t>WINNER SELECTION.</w:t>
      </w:r>
      <w:r>
        <w:rPr>
          <w:rFonts w:eastAsia="Times New Roman" w:cs="Times New Roman" w:ascii="Times New Roman" w:hAnsi="Times New Roman"/>
          <w:sz w:val="22"/>
          <w:szCs w:val="22"/>
        </w:rPr>
        <w:t xml:space="preserve"> For each player picked you will earn points which will be used to rank you relative to the other contestants. The more total points you earn, the better your rank will be. The top contestants according to the final standings will win the Grand Prize. The top contestants each week and at game's end will win the prizes listed on the Prizes page. </w:t>
      </w:r>
    </w:p>
    <w:p>
      <w:pPr>
        <w:pStyle w:val="NormalWeb"/>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Determination of prizewinners shall take place on or about October 15, 2000 by Contest Providers whose decision shall be final. Winner will be notified by email, phone, regular mail and/or overnight courier on or near October 31, 2000. If winner is unreachable after 10 days an alternate winner will be selected by rank according to the rules. Potential winners must execute, notarize, and return an Affidavit of Eligibility/Prize Acceptance Form/Release of liability within 10 days of notification. Noncompliance within this time period may result in disqualification and an alternate winner being chosen. </w:t>
      </w:r>
    </w:p>
    <w:p>
      <w:pPr>
        <w:pStyle w:val="NormalWeb"/>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Web"/>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Prizes will be distributed within sixty (60) days after each prizewinner has been successfully contacted and notified of their prize. For a list of all winners at the end of the contest, send a self-addressed, stamped envelope to Internet Sports Network, Inc., 3260 Hillview Ave, Palo Alto, CA 94304 to Attn: Enron High 5 Flags Game and indicate your request for a list of winners. </w:t>
      </w:r>
    </w:p>
    <w:p>
      <w:pPr>
        <w:pStyle w:val="NormalWeb"/>
        <w:rPr/>
      </w:pPr>
      <w:r>
        <w:rPr>
          <w:rFonts w:eastAsia="Times New Roman" w:cs="Times New Roman" w:ascii="Times New Roman" w:hAnsi="Times New Roman"/>
          <w:b/>
          <w:bCs/>
          <w:sz w:val="22"/>
          <w:szCs w:val="22"/>
        </w:rPr>
        <w:t>Notes:</w:t>
      </w:r>
      <w:r>
        <w:rPr>
          <w:rFonts w:eastAsia="Times New Roman" w:cs="Times New Roman" w:ascii="Times New Roman" w:hAnsi="Times New Roman"/>
          <w:sz w:val="22"/>
          <w:szCs w:val="22"/>
        </w:rPr>
        <w:t xml:space="preserve"> </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 xml:space="preserve">Only one entry per contestant is allowed per day. </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 xml:space="preserve">Any picks received after the deadline above will be void. </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 xml:space="preserve">You may change your picks any time before the deadline for each week. </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 xml:space="preserve">Your rank in the overall contest is determined by the number of fantasy points that you accumulate in the contest. Your fantasy points for each country will be added together to get your total for the overall contest. </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In the event of a tie for any of the prizes, time of entry will declare the winner.</w:t>
      </w:r>
    </w:p>
    <w:p>
      <w:pPr>
        <w:pStyle w:val="Normal"/>
        <w:numPr>
          <w:ilvl w:val="0"/>
          <w:numId w:val="3"/>
        </w:numPr>
        <w:tabs>
          <w:tab w:val="clear" w:pos="720"/>
          <w:tab w:val="left" w:pos="0" w:leader="none"/>
          <w:tab w:val="left" w:pos="360" w:leader="none"/>
        </w:tabs>
        <w:spacing w:before="100" w:after="100"/>
        <w:ind w:hanging="720" w:start="1080" w:end="0"/>
        <w:rPr>
          <w:sz w:val="22"/>
          <w:szCs w:val="22"/>
        </w:rPr>
      </w:pPr>
      <w:r>
        <w:rPr>
          <w:sz w:val="22"/>
          <w:szCs w:val="22"/>
        </w:rPr>
        <w:t xml:space="preserve">If you do not make any changes your picks will carry over through the game schedule. </w:t>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b/>
          <w:bCs/>
          <w:sz w:val="22"/>
          <w:szCs w:val="22"/>
        </w:rPr>
        <w:t>Scoring System</w:t>
      </w:r>
      <w:r>
        <w:rPr>
          <w:rFonts w:eastAsia="Times New Roman" w:cs="Times New Roman" w:ascii="Times New Roman" w:hAnsi="Times New Roman"/>
          <w:sz w:val="22"/>
          <w:szCs w:val="22"/>
        </w:rPr>
        <w:t>/</w:t>
      </w:r>
      <w:r>
        <w:rPr>
          <w:rFonts w:eastAsia="Times New Roman" w:cs="Times New Roman" w:ascii="Times New Roman" w:hAnsi="Times New Roman"/>
          <w:b/>
          <w:bCs/>
          <w:sz w:val="22"/>
          <w:szCs w:val="22"/>
        </w:rPr>
        <w:t>Point weightings</w:t>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t>TO BE CONFIRMED</w:t>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Web"/>
        <w:spacing w:before="0" w:after="0"/>
        <w:rPr/>
      </w:pPr>
      <w:r>
        <w:rPr>
          <w:rFonts w:eastAsia="Times New Roman" w:cs="Times New Roman" w:ascii="Times New Roman" w:hAnsi="Times New Roman"/>
          <w:b/>
          <w:bCs/>
          <w:sz w:val="22"/>
          <w:szCs w:val="22"/>
        </w:rPr>
        <w:t>ELIGIBILITY.</w:t>
      </w:r>
      <w:r>
        <w:rPr>
          <w:rFonts w:eastAsia="Times New Roman" w:cs="Times New Roman" w:ascii="Times New Roman" w:hAnsi="Times New Roman"/>
          <w:sz w:val="22"/>
          <w:szCs w:val="22"/>
        </w:rPr>
        <w:t xml:space="preserve"> This Contest is open to any individual age 21 or older as of March 29, 2000 who is an employee of Enron Inc.  Internet Sports Network, Inc., Employees of Internet Sports Network, Inc., and their distributors, divisions and subsidiaries, licensed retailers, sponsors, their immediate families, and employees of the contest promotional partners are not eligible for prizes. Prize recipients will be required to sign an affidavit of eligibility and publicity release. Acceptance of a prize constitutes permission to use winner's name and information provided by winner for promotional purposes without further compensation, unless prohibited by law. All federal, state, provincial, and local laws and regulations apply. All applicable taxes, fees and other charges are the sole responsibility of the prizewinner. </w:t>
      </w:r>
    </w:p>
    <w:p>
      <w:pPr>
        <w:pStyle w:val="NormalWeb"/>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Web"/>
        <w:spacing w:before="0" w:after="0"/>
        <w:rPr/>
      </w:pPr>
      <w:r>
        <w:rPr>
          <w:rFonts w:eastAsia="Times New Roman" w:cs="Times New Roman" w:ascii="Times New Roman" w:hAnsi="Times New Roman"/>
          <w:b/>
          <w:bCs/>
          <w:sz w:val="22"/>
          <w:szCs w:val="22"/>
        </w:rPr>
        <w:t>USE OF CONTEST INFORMATION.</w:t>
      </w:r>
      <w:r>
        <w:rPr>
          <w:rFonts w:eastAsia="Times New Roman" w:cs="Times New Roman" w:ascii="Times New Roman" w:hAnsi="Times New Roman"/>
          <w:sz w:val="22"/>
          <w:szCs w:val="22"/>
        </w:rPr>
        <w:t xml:space="preserve"> Contestant information obtain is property of Enron Corporation.  Contest providers will not use any acquired information related to the Contest.</w:t>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Web"/>
        <w:spacing w:before="0" w:after="0"/>
        <w:rPr/>
      </w:pPr>
      <w:r>
        <w:rPr>
          <w:rFonts w:eastAsia="Times New Roman" w:cs="Times New Roman" w:ascii="Times New Roman" w:hAnsi="Times New Roman"/>
          <w:b/>
          <w:bCs/>
          <w:sz w:val="22"/>
          <w:szCs w:val="22"/>
        </w:rPr>
        <w:t>CONDUCT.</w:t>
      </w:r>
      <w:r>
        <w:rPr>
          <w:rFonts w:eastAsia="Times New Roman" w:cs="Times New Roman" w:ascii="Times New Roman" w:hAnsi="Times New Roman"/>
          <w:sz w:val="22"/>
          <w:szCs w:val="22"/>
        </w:rPr>
        <w:t xml:space="preserve"> Contest Providers reserve the right at their sole discretion to disqualify any individual they find to be tampering with the entry process or the operation of the game or website; to be acting in violation of the Official Rules; or to be acting in an unsportsmanlike or disruptive manner, or with intent to annoy, abuse, threaten or harass any other person. You agree that in the use of the Contest -- including but not limited to chat areas, and the registration of usernames or group names -- you will not use obscene, libelous or slanderous language, or language which infringes upon a third party's trademark, trade name or other intellectual property right or right to privacy. You agree to indemnify and hold harmless Contest Providers, their respective parents, subsidiaries, affiliates, directors, sponsors, officers, consultants, agents, and employees against and from all claims, damages liabilities, costs and expenses asserted by third parties alleging that the Contest includes obscenity, libel, slander, or infringes upon the third party's intellectual property or privacy rights, as a direct result of your actions in the use of the Contest. You further agree to not knowingly: damage or cause interruption of the Contest; prevent others from using the Contest; obtain or modify another user's non-public account information without their consent. Enron Inc. and Internet Sports Network, Inc. reserve the right to cancel or modify the contest in whole or in part in the event of technical or other difficulties. CAUTION: ANY ATTEMPT BY A CONTESTANT OR ANY OTHER INDIVIDUAL TO DELIBERATELY DAMAGE ANY WEBSITE OR UNDERMINE THE LEGITIMATE OPERATION OF THE GAME IS A VIOLATION OF CRIMINAL AND CIVIL LAWS AND SHOULD SUCH AN ATTEMPT BE MADE, CONTEST PROVIDERS RESERVE THE RIGHT TO SEEK DAMAGES FROM ANY SUCH CONTESTANT TO THE FULLEST EXTENT PERMITTED BY LAW. </w:t>
      </w:r>
    </w:p>
    <w:p>
      <w:pPr>
        <w:pStyle w:val="NormalWeb"/>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Web"/>
        <w:spacing w:before="0" w:after="0"/>
        <w:rPr/>
      </w:pPr>
      <w:r>
        <w:rPr>
          <w:rFonts w:eastAsia="Times New Roman" w:cs="Times New Roman" w:ascii="Times New Roman" w:hAnsi="Times New Roman"/>
          <w:b/>
          <w:bCs/>
          <w:sz w:val="22"/>
          <w:szCs w:val="22"/>
        </w:rPr>
        <w:t>LIMITATIONS OF LIABILITY.</w:t>
      </w:r>
      <w:r>
        <w:rPr>
          <w:rFonts w:eastAsia="Times New Roman" w:cs="Times New Roman" w:ascii="Times New Roman" w:hAnsi="Times New Roman"/>
          <w:sz w:val="22"/>
          <w:szCs w:val="22"/>
        </w:rPr>
        <w:t xml:space="preserve"> Winners and travel companions assume liability for injuries caused or claimed to be caused by participating in the contest, or by the acceptance, possession, use of, or failure to receive any prize. Contest Providers are not responsible for any incorrect or inaccurate information, whether caused by website users or by any of the equipment or programming associated with or utilized in the Contest or by any technical or human error which may occur in the processing of submissions in the Contest. Contest Providers assume no responsibility for any error, omission, interruption, deletion, defect, delay in operation or transmission, communications line failure, theft or destruction or authorized access to, or alteration of, entries. Contest Providers are not responsible for any problems or technical malfunction of any telephone network or lines, computer on-line-systems, servers or providers, computer equipment, software, failure of email or players on account of technical problems or traffic congestion on the Internet or at any Website or combination thereof, including injury or damage to participants or to any other person's computer related to or resulting from participating or downloading materials in the Contest. If, for any reason, the Contest is not capable of running as planned, including infection by computer virus, bugs, tampering, unauthorized intervention, fraud, technical failures, or any other causes beyond the control of Contest Providers which corrupt or affect the administration, security, fairness, integrity or proper conduct of the Contest, Contest Providers reserve the right to cancel, terminate, modify or suspend the Contest. </w:t>
      </w:r>
    </w:p>
    <w:p>
      <w:pPr>
        <w:pStyle w:val="NormalWeb"/>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Web"/>
        <w:spacing w:before="0" w:after="0"/>
        <w:rPr/>
      </w:pPr>
      <w:r>
        <w:rPr>
          <w:rFonts w:eastAsia="Times New Roman" w:cs="Times New Roman" w:ascii="Times New Roman" w:hAnsi="Times New Roman"/>
          <w:b/>
          <w:bCs/>
          <w:sz w:val="22"/>
          <w:szCs w:val="22"/>
        </w:rPr>
        <w:t>OFFICIALLY LICENSED PRODUCT OF ENRON.</w:t>
      </w:r>
      <w:r>
        <w:rPr>
          <w:rFonts w:eastAsia="Times New Roman" w:cs="Times New Roman" w:ascii="Times New Roman" w:hAnsi="Times New Roman"/>
          <w:sz w:val="22"/>
          <w:szCs w:val="22"/>
        </w:rPr>
        <w:t xml:space="preserve">   Used under license by Internet Sports Network, Inc. </w:t>
      </w:r>
    </w:p>
    <w:p>
      <w:pPr>
        <w:pStyle w:val="NormalWeb"/>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Web"/>
        <w:spacing w:before="0" w:after="0"/>
        <w:rPr/>
      </w:pPr>
      <w:r>
        <w:rPr>
          <w:rFonts w:eastAsia="Times New Roman" w:cs="Times New Roman" w:ascii="Times New Roman" w:hAnsi="Times New Roman"/>
          <w:b/>
          <w:bCs/>
          <w:sz w:val="22"/>
          <w:szCs w:val="22"/>
        </w:rPr>
        <w:t>INTELLECTUAL PROPERTY.</w:t>
      </w:r>
      <w:r>
        <w:rPr>
          <w:rFonts w:eastAsia="Times New Roman" w:cs="Times New Roman" w:ascii="Times New Roman" w:hAnsi="Times New Roman"/>
          <w:sz w:val="22"/>
          <w:szCs w:val="22"/>
        </w:rPr>
        <w:t xml:space="preserve"> The Contest and all of the related pages, contents and code are copyright © Internet Sports Network, Inc., and/or Sponsors. Copying or unauthorized use of any copyrighted material or trademarks without the express written consent of its owner is strictly prohibited. </w:t>
      </w:r>
    </w:p>
    <w:p>
      <w:pPr>
        <w:pStyle w:val="NormalWeb"/>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Web"/>
        <w:spacing w:before="0" w:after="0"/>
        <w:rPr/>
      </w:pPr>
      <w:r>
        <w:rPr>
          <w:rFonts w:eastAsia="Times New Roman" w:cs="Times New Roman" w:ascii="Times New Roman" w:hAnsi="Times New Roman"/>
          <w:b/>
          <w:bCs/>
          <w:sz w:val="22"/>
          <w:szCs w:val="22"/>
        </w:rPr>
        <w:t>GENERAL CONDITIONS.</w:t>
      </w:r>
      <w:r>
        <w:rPr>
          <w:rFonts w:eastAsia="Times New Roman" w:cs="Times New Roman" w:ascii="Times New Roman" w:hAnsi="Times New Roman"/>
          <w:sz w:val="22"/>
          <w:szCs w:val="22"/>
        </w:rPr>
        <w:t xml:space="preserve"> All federal, provincial and local laws and regulations apply. The decisions of the Contest Providers are final on all matters of fact, interpretation, eligibility, procedure and fulfillment. By entering this contest, you acknowledge acceptance of all contest rules and agree to be bound by them. </w:t>
      </w:r>
    </w:p>
    <w:p>
      <w:pPr>
        <w:pStyle w:val="Normal"/>
        <w:rPr>
          <w:rFonts w:ascii="Times New Roman" w:hAnsi="Times New Roman" w:eastAsia="Times New Roman" w:cs="Times New Roman"/>
          <w:b/>
          <w:bCs/>
          <w:sz w:val="22"/>
          <w:szCs w:val="22"/>
        </w:rPr>
      </w:pPr>
      <w:r>
        <w:rPr>
          <w:rFonts w:eastAsia="Times New Roman" w:cs="Times New Roman"/>
          <w:b/>
          <w:bCs/>
          <w:sz w:val="22"/>
          <w:szCs w:val="22"/>
        </w:rPr>
      </w:r>
      <w:r>
        <w:br w:type="page"/>
      </w:r>
    </w:p>
    <w:p>
      <w:pPr>
        <w:pStyle w:val="Normal"/>
        <w:widowControl/>
        <w:spacing w:lineRule="exact" w:line="279" w:before="0" w:after="0"/>
        <w:jc w:val="center"/>
        <w:rPr>
          <w:b/>
          <w:bCs/>
          <w:sz w:val="22"/>
          <w:szCs w:val="22"/>
        </w:rPr>
      </w:pPr>
      <w:r>
        <w:rPr>
          <w:b/>
          <w:bCs/>
          <w:sz w:val="22"/>
          <w:szCs w:val="22"/>
        </w:rPr>
        <w:t>SCHEDULE “F”</w:t>
      </w:r>
    </w:p>
    <w:p>
      <w:pPr>
        <w:pStyle w:val="Normal"/>
        <w:widowControl/>
        <w:spacing w:lineRule="exact" w:line="279" w:before="0" w:after="0"/>
        <w:jc w:val="center"/>
        <w:rPr>
          <w:b/>
          <w:bCs/>
          <w:sz w:val="22"/>
          <w:szCs w:val="22"/>
          <w:u w:val="single"/>
        </w:rPr>
      </w:pPr>
      <w:r>
        <w:rPr>
          <w:b/>
          <w:bCs/>
          <w:sz w:val="22"/>
          <w:szCs w:val="22"/>
          <w:u w:val="single"/>
        </w:rPr>
      </w:r>
    </w:p>
    <w:p>
      <w:pPr>
        <w:pStyle w:val="Normal"/>
        <w:widowControl/>
        <w:spacing w:lineRule="exact" w:line="279" w:before="0" w:after="0"/>
        <w:jc w:val="center"/>
        <w:rPr>
          <w:sz w:val="22"/>
          <w:szCs w:val="22"/>
          <w:u w:val="single"/>
        </w:rPr>
      </w:pPr>
      <w:r>
        <w:rPr>
          <w:b/>
          <w:bCs/>
          <w:sz w:val="22"/>
          <w:szCs w:val="22"/>
          <w:u w:val="single"/>
        </w:rPr>
        <w:t xml:space="preserve">Payments </w:t>
      </w:r>
    </w:p>
    <w:p>
      <w:pPr>
        <w:pStyle w:val="Normal"/>
        <w:widowControl/>
        <w:spacing w:before="0" w:after="0"/>
        <w:rPr>
          <w:sz w:val="22"/>
          <w:szCs w:val="22"/>
          <w:u w:val="single"/>
        </w:rPr>
      </w:pPr>
      <w:r>
        <w:rPr>
          <w:sz w:val="22"/>
          <w:szCs w:val="22"/>
          <w:u w:val="single"/>
        </w:rPr>
      </w:r>
    </w:p>
    <w:p>
      <w:pPr>
        <w:pStyle w:val="Normal"/>
        <w:rPr/>
      </w:pPr>
      <w:r>
        <w:rPr/>
        <w:t>For the purposes of this Agreement, the following shall apply:</w:t>
      </w:r>
    </w:p>
    <w:p>
      <w:pPr>
        <w:pStyle w:val="Normal"/>
        <w:rPr>
          <w:b/>
          <w:bCs/>
          <w:sz w:val="22"/>
          <w:szCs w:val="22"/>
        </w:rPr>
      </w:pPr>
      <w:r>
        <w:rPr>
          <w:b/>
          <w:bCs/>
          <w:sz w:val="22"/>
          <w:szCs w:val="22"/>
        </w:rPr>
        <w:t>Customization fees for Statement of Work</w:t>
      </w:r>
    </w:p>
    <w:p>
      <w:pPr>
        <w:pStyle w:val="Normal"/>
        <w:rPr>
          <w:sz w:val="22"/>
          <w:szCs w:val="22"/>
        </w:rPr>
      </w:pPr>
      <w:r>
        <w:rPr>
          <w:sz w:val="22"/>
          <w:szCs w:val="22"/>
        </w:rPr>
        <w:t>In consideration of the services performed by ISNI, Customer shall pay ISNI as described in the game descriptions, Customer shall pay ISNI $38,500 for game set up – 50% upon signing, 25% on game launch and 25% on game completion.</w:t>
      </w:r>
    </w:p>
    <w:p>
      <w:pPr>
        <w:pStyle w:val="Normal"/>
        <w:rPr>
          <w:sz w:val="22"/>
          <w:szCs w:val="22"/>
        </w:rPr>
      </w:pPr>
      <w:r>
        <w:rPr>
          <w:b/>
          <w:bCs/>
          <w:sz w:val="22"/>
          <w:szCs w:val="22"/>
        </w:rPr>
        <w:t xml:space="preserve">Prizing: </w:t>
      </w:r>
    </w:p>
    <w:p>
      <w:pPr>
        <w:pStyle w:val="Normal"/>
        <w:rPr>
          <w:color w:val="000000"/>
          <w:sz w:val="22"/>
          <w:szCs w:val="22"/>
        </w:rPr>
      </w:pPr>
      <w:r>
        <w:rPr>
          <w:color w:val="000000"/>
          <w:sz w:val="22"/>
          <w:szCs w:val="22"/>
        </w:rPr>
        <w:t>ISNI will provide a turnkey prizing solution.  Costs are estimated below:</w:t>
      </w:r>
    </w:p>
    <w:p>
      <w:pPr>
        <w:pStyle w:val="Normal"/>
        <w:rPr>
          <w:color w:val="000000"/>
          <w:sz w:val="22"/>
          <w:szCs w:val="22"/>
        </w:rPr>
      </w:pPr>
      <w:r>
        <w:rPr>
          <w:color w:val="000000"/>
          <w:sz w:val="22"/>
          <w:szCs w:val="22"/>
        </w:rPr>
        <w:t>Grand Prize: $10,000 – 15,000</w:t>
      </w:r>
    </w:p>
    <w:p>
      <w:pPr>
        <w:pStyle w:val="Normal"/>
        <w:rPr>
          <w:color w:val="000000"/>
          <w:sz w:val="22"/>
          <w:szCs w:val="22"/>
        </w:rPr>
      </w:pPr>
      <w:r>
        <w:rPr>
          <w:color w:val="000000"/>
          <w:sz w:val="22"/>
          <w:szCs w:val="22"/>
        </w:rPr>
        <w:t>Second Place Prizes: $3,000 - $5,000</w:t>
      </w:r>
    </w:p>
    <w:p>
      <w:pPr>
        <w:pStyle w:val="Normal"/>
        <w:rPr>
          <w:color w:val="000000"/>
          <w:sz w:val="22"/>
          <w:szCs w:val="22"/>
        </w:rPr>
      </w:pPr>
      <w:r>
        <w:rPr>
          <w:color w:val="000000"/>
          <w:sz w:val="22"/>
          <w:szCs w:val="22"/>
        </w:rPr>
        <w:t>5 – 10  Runner Up Prizing: $300 - $500</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Prizing will range from high-end electronic products (Big Screen TV’s, Camcorders, Disc-mans).</w:t>
      </w:r>
    </w:p>
    <w:p>
      <w:pPr>
        <w:pStyle w:val="Normal"/>
        <w:rPr>
          <w:color w:val="000000"/>
          <w:sz w:val="22"/>
          <w:szCs w:val="22"/>
        </w:rPr>
      </w:pPr>
      <w:r>
        <w:rPr>
          <w:color w:val="000000"/>
          <w:sz w:val="22"/>
          <w:szCs w:val="22"/>
        </w:rPr>
        <w:t>Costs to be covered by Customer.</w:t>
      </w:r>
    </w:p>
    <w:p>
      <w:pPr>
        <w:pStyle w:val="Normal"/>
        <w:rPr>
          <w:color w:val="000000"/>
          <w:sz w:val="22"/>
          <w:szCs w:val="22"/>
        </w:rPr>
      </w:pPr>
      <w:r>
        <w:rPr>
          <w:color w:val="000000"/>
          <w:sz w:val="22"/>
          <w:szCs w:val="22"/>
        </w:rPr>
      </w:r>
    </w:p>
    <w:sectPr>
      <w:headerReference w:type="default" r:id="rId16"/>
      <w:footerReference w:type="default" r:id="rId17"/>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Albertus Medium">
    <w:charset w:val="01"/>
    <w:family w:val="swiss"/>
    <w:pitch w:val="variable"/>
  </w:font>
  <w:font w:name="Courier New">
    <w:charset w:val="01"/>
    <w:family w:val="modern"/>
    <w:pitch w:val="default"/>
  </w:font>
  <w:font w:name="Arial Unicode MS">
    <w:charset w:val="80"/>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before="24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r>
      <mc:AlternateContent>
        <mc:Choice Requires="wps">
          <w:drawing>
            <wp:anchor behindDoc="0" distT="0" distB="0" distL="0" distR="0" simplePos="0" locked="0" layoutInCell="0" allowOverlap="1" relativeHeight="2">
              <wp:simplePos x="0" y="0"/>
              <wp:positionH relativeFrom="page">
                <wp:posOffset>13970</wp:posOffset>
              </wp:positionH>
              <wp:positionV relativeFrom="page">
                <wp:posOffset>9566275</wp:posOffset>
              </wp:positionV>
              <wp:extent cx="1189355" cy="265430"/>
              <wp:effectExtent l="0" t="0" r="0" b="0"/>
              <wp:wrapSquare wrapText="bothSides"/>
              <wp:docPr id="1" name="Frame1"/>
              <a:graphic xmlns:a="http://schemas.openxmlformats.org/drawingml/2006/main">
                <a:graphicData uri="http://schemas.microsoft.com/office/word/2010/wordprocessingShape">
                  <wps:wsp>
                    <wps:cNvSpPr txBox="1"/>
                    <wps:spPr>
                      <a:xfrm>
                        <a:off x="0" y="0"/>
                        <a:ext cx="1189355" cy="265430"/>
                      </a:xfrm>
                      <a:prstGeom prst="rect"/>
                      <a:solidFill>
                        <a:srgbClr val="FFFFFF">
                          <a:alpha val="0"/>
                        </a:srgbClr>
                      </a:solidFill>
                    </wps:spPr>
                    <wps:txbx>
                      <w:txbxContent>
                        <w:p>
                          <w:pPr>
                            <w:pStyle w:val="Normal"/>
                            <w:spacing w:before="240" w:after="360"/>
                            <w:ind w:start="360" w:end="0"/>
                            <w:rPr>
                              <w:b/>
                              <w:bCs/>
                              <w:sz w:val="16"/>
                              <w:szCs w:val="16"/>
                            </w:rPr>
                          </w:pPr>
                          <w:r>
                            <w:rPr>
                              <w:sz w:val="16"/>
                              <w:szCs w:val="16"/>
                            </w:rPr>
                            <w:t xml:space="preserve">             </w:t>
                          </w:r>
                        </w:p>
                      </w:txbxContent>
                    </wps:txbx>
                    <wps:bodyPr anchor="t" lIns="0" tIns="0" rIns="0" bIns="0">
                      <a:noAutofit/>
                    </wps:bodyPr>
                  </wps:wsp>
                </a:graphicData>
              </a:graphic>
            </wp:anchor>
          </w:drawing>
        </mc:Choice>
        <mc:Fallback>
          <w:pict>
            <v:rect fillcolor="#FFFFFF" style="position:absolute;rotation:-0;width:93.65pt;height:20.9pt;mso-wrap-distance-left:0pt;mso-wrap-distance-right:0pt;mso-wrap-distance-top:0pt;mso-wrap-distance-bottom:0pt;margin-top:753.25pt;mso-position-vertical-relative:page;margin-left:1.1pt;mso-position-horizontal-relative:page">
              <v:fill opacity="0f"/>
              <v:textbox inset="0in,0in,0in,0in">
                <w:txbxContent>
                  <w:p>
                    <w:pPr>
                      <w:pStyle w:val="Normal"/>
                      <w:spacing w:before="240" w:after="360"/>
                      <w:ind w:start="360" w:end="0"/>
                      <w:rPr>
                        <w:b/>
                        <w:bCs/>
                        <w:sz w:val="16"/>
                        <w:szCs w:val="16"/>
                      </w:rPr>
                    </w:pPr>
                    <w:r>
                      <w:rPr>
                        <w:sz w:val="16"/>
                        <w:szCs w:val="16"/>
                      </w:rPr>
                      <w:t xml:space="preserve">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before="0" w:after="0"/>
      <w:jc w:val="center"/>
      <w:rPr/>
    </w:pPr>
    <w:r>
      <w:rPr>
        <w:b/>
        <w:bC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24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before="240" w:after="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before="240" w:after="0"/>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lowerLetter"/>
      <w:lvlText w:val="%3"/>
      <w:lvlJc w:val="start"/>
      <w:pPr>
        <w:tabs>
          <w:tab w:val="num" w:pos="0"/>
        </w:tabs>
        <w:ind w:start="0" w:hanging="0"/>
      </w:pPr>
    </w:lvl>
    <w:lvl w:ilvl="3">
      <w:start w:val="1"/>
      <w:pStyle w:val="Heading4"/>
      <w:numFmt w:val="lowerRoman"/>
      <w:lvlText w:val="%4"/>
      <w:lvlJc w:val="start"/>
      <w:pPr>
        <w:tabs>
          <w:tab w:val="num" w:pos="0"/>
        </w:tabs>
        <w:ind w:start="0" w:hanging="0"/>
      </w:pPr>
    </w:lvl>
    <w:lvl w:ilvl="4">
      <w:start w:val="1"/>
      <w:pStyle w:val="Heading5"/>
      <w:numFmt w:val="upperLetter"/>
      <w:lvlText w:val="%5"/>
      <w:lvlJc w:val="start"/>
      <w:pPr>
        <w:tabs>
          <w:tab w:val="num" w:pos="0"/>
        </w:tabs>
        <w:ind w:start="0" w:hanging="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240" w:after="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vanish/>
    </w:rPr>
  </w:style>
  <w:style w:type="paragraph" w:styleId="Heading2">
    <w:name w:val="heading 2"/>
    <w:basedOn w:val="Normal"/>
    <w:next w:val="Normal"/>
    <w:qFormat/>
    <w:pPr>
      <w:keepNext w:val="true"/>
      <w:widowControl/>
      <w:numPr>
        <w:ilvl w:val="1"/>
        <w:numId w:val="1"/>
      </w:numPr>
      <w:outlineLvl w:val="1"/>
    </w:pPr>
    <w:rPr>
      <w:b/>
      <w:bCs/>
    </w:rPr>
  </w:style>
  <w:style w:type="paragraph" w:styleId="Heading3">
    <w:name w:val="heading 3"/>
    <w:basedOn w:val="Normal"/>
    <w:next w:val="Normal"/>
    <w:qFormat/>
    <w:pPr>
      <w:widowControl/>
      <w:numPr>
        <w:ilvl w:val="2"/>
        <w:numId w:val="1"/>
      </w:numPr>
      <w:ind w:hanging="720" w:start="1440" w:end="0"/>
      <w:outlineLvl w:val="2"/>
    </w:pPr>
    <w:rPr/>
  </w:style>
  <w:style w:type="paragraph" w:styleId="Heading4">
    <w:name w:val="heading 4"/>
    <w:basedOn w:val="Normal"/>
    <w:next w:val="Normal"/>
    <w:qFormat/>
    <w:pPr>
      <w:widowControl/>
      <w:numPr>
        <w:ilvl w:val="3"/>
        <w:numId w:val="1"/>
      </w:numPr>
      <w:ind w:hanging="720" w:start="2160" w:end="0"/>
      <w:outlineLvl w:val="3"/>
    </w:pPr>
    <w:rPr/>
  </w:style>
  <w:style w:type="paragraph" w:styleId="Heading5">
    <w:name w:val="heading 5"/>
    <w:basedOn w:val="Normal"/>
    <w:next w:val="Normal"/>
    <w:qFormat/>
    <w:pPr>
      <w:numPr>
        <w:ilvl w:val="4"/>
        <w:numId w:val="1"/>
      </w:numPr>
      <w:ind w:hanging="0" w:start="2880" w:end="0"/>
      <w:outlineLvl w:val="4"/>
    </w:pPr>
    <w:rPr/>
  </w:style>
  <w:style w:type="paragraph" w:styleId="Heading6">
    <w:name w:val="heading 6"/>
    <w:basedOn w:val="Normal"/>
    <w:next w:val="Normal"/>
    <w:qFormat/>
    <w:pPr>
      <w:numPr>
        <w:ilvl w:val="5"/>
        <w:numId w:val="1"/>
      </w:numPr>
      <w:tabs>
        <w:tab w:val="clear" w:pos="720"/>
      </w:tabs>
      <w:spacing w:before="240" w:after="60"/>
      <w:ind w:hanging="720" w:start="5040" w:end="0"/>
      <w:outlineLvl w:val="5"/>
    </w:pPr>
    <w:rPr>
      <w:i/>
      <w:iCs/>
      <w:sz w:val="22"/>
      <w:szCs w:val="22"/>
    </w:rPr>
  </w:style>
  <w:style w:type="paragraph" w:styleId="Heading7">
    <w:name w:val="heading 7"/>
    <w:basedOn w:val="Normal"/>
    <w:next w:val="Normal"/>
    <w:qFormat/>
    <w:pPr>
      <w:numPr>
        <w:ilvl w:val="6"/>
        <w:numId w:val="1"/>
      </w:numPr>
      <w:tabs>
        <w:tab w:val="clear" w:pos="720"/>
      </w:tabs>
      <w:spacing w:before="240" w:after="60"/>
      <w:ind w:hanging="720" w:start="5760" w:end="0"/>
      <w:outlineLvl w:val="6"/>
    </w:pPr>
    <w:rPr>
      <w:rFonts w:ascii="Arial" w:hAnsi="Arial" w:eastAsia="Arial" w:cs="Arial"/>
    </w:rPr>
  </w:style>
  <w:style w:type="paragraph" w:styleId="Heading8">
    <w:name w:val="heading 8"/>
    <w:basedOn w:val="Normal"/>
    <w:next w:val="Normal"/>
    <w:qFormat/>
    <w:pPr>
      <w:numPr>
        <w:ilvl w:val="7"/>
        <w:numId w:val="1"/>
      </w:numPr>
      <w:tabs>
        <w:tab w:val="clear" w:pos="720"/>
      </w:tabs>
      <w:spacing w:before="240" w:after="60"/>
      <w:ind w:hanging="720" w:start="6480" w:end="0"/>
      <w:outlineLvl w:val="7"/>
    </w:pPr>
    <w:rPr>
      <w:rFonts w:ascii="Arial" w:hAnsi="Arial" w:eastAsia="Arial" w:cs="Arial"/>
      <w:i/>
      <w:iCs/>
    </w:rPr>
  </w:style>
  <w:style w:type="paragraph" w:styleId="Heading9">
    <w:name w:val="heading 9"/>
    <w:basedOn w:val="Normal"/>
    <w:next w:val="Normal"/>
    <w:qFormat/>
    <w:pPr>
      <w:numPr>
        <w:ilvl w:val="8"/>
        <w:numId w:val="1"/>
      </w:numPr>
      <w:tabs>
        <w:tab w:val="clear" w:pos="720"/>
      </w:tabs>
      <w:spacing w:before="240" w:after="60"/>
      <w:ind w:hanging="720" w:start="7200" w:end="0"/>
      <w:outlineLvl w:val="8"/>
    </w:pPr>
    <w:rPr>
      <w:rFonts w:ascii="Arial" w:hAnsi="Arial" w:eastAsia="Arial" w:cs="Arial"/>
      <w:b/>
      <w:bCs/>
      <w:i/>
      <w:iCs/>
      <w:sz w:val="18"/>
      <w:szCs w:val="18"/>
    </w:rPr>
  </w:style>
  <w:style w:type="character" w:styleId="DefaultParagraphFont">
    <w:name w:val="Default Paragraph Font"/>
    <w:qFormat/>
    <w:rPr/>
  </w:style>
  <w:style w:type="character" w:styleId="SYSHYPERTEXT">
    <w:name w:val="SYS_HYPERTEXT"/>
    <w:qFormat/>
    <w:rPr>
      <w:color w:val="0000FF"/>
      <w:lang w:val="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240"/>
      <w:ind w:hanging="0" w:start="1080" w:end="0"/>
    </w:pPr>
    <w:rPr>
      <w:rFonts w:ascii="Arial" w:hAnsi="Arial" w:eastAsia="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Litigation">
    <w:name w:val="1Litigation"/>
    <w:qFormat/>
    <w:pPr>
      <w:widowControl w:val="false"/>
      <w:bidi w:val="0"/>
      <w:jc w:val="both"/>
    </w:pPr>
    <w:rPr>
      <w:rFonts w:ascii="Times New Roman" w:hAnsi="Times New Roman" w:eastAsia="Times New Roman" w:cs="Times New Roman"/>
      <w:color w:val="auto"/>
      <w:sz w:val="24"/>
      <w:szCs w:val="24"/>
      <w:lang w:val="en-US" w:eastAsia="zh-CN" w:bidi="hi-IN"/>
    </w:rPr>
  </w:style>
  <w:style w:type="paragraph" w:styleId="2Litigation">
    <w:name w:val="2Litigation"/>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Litigation">
    <w:name w:val="3Litigation"/>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Litigation">
    <w:name w:val="4Litigation"/>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Litigation">
    <w:name w:val="5Litigation"/>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Litigation">
    <w:name w:val="6Litigation"/>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Litigation">
    <w:name w:val="7Litigation"/>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Litigation">
    <w:name w:val="8Litigation"/>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1ohhlegal">
    <w:name w:val="1ohh legal"/>
    <w:qFormat/>
    <w:pPr>
      <w:widowControl w:val="false"/>
      <w:bidi w:val="0"/>
      <w:jc w:val="center"/>
    </w:pPr>
    <w:rPr>
      <w:rFonts w:ascii="Times New Roman" w:hAnsi="Times New Roman" w:eastAsia="Times New Roman" w:cs="Times New Roman"/>
      <w:color w:val="auto"/>
      <w:sz w:val="24"/>
      <w:szCs w:val="24"/>
      <w:lang w:val="en-US" w:eastAsia="zh-CN" w:bidi="hi-IN"/>
    </w:rPr>
  </w:style>
  <w:style w:type="paragraph" w:styleId="2ohhlegal">
    <w:name w:val="2ohh legal"/>
    <w:qFormat/>
    <w:pPr>
      <w:widowControl w:val="false"/>
      <w:bidi w:val="0"/>
      <w:jc w:val="both"/>
    </w:pPr>
    <w:rPr>
      <w:rFonts w:ascii="Times New Roman" w:hAnsi="Times New Roman" w:eastAsia="Times New Roman" w:cs="Times New Roman"/>
      <w:color w:val="auto"/>
      <w:sz w:val="24"/>
      <w:szCs w:val="24"/>
      <w:lang w:val="en-US" w:eastAsia="zh-CN" w:bidi="hi-IN"/>
    </w:rPr>
  </w:style>
  <w:style w:type="paragraph" w:styleId="3ohhlegal">
    <w:name w:val="3ohh legal"/>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4ohhlegal">
    <w:name w:val="4ohh legal"/>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5ohhlegal">
    <w:name w:val="5ohh legal"/>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6ohhlegal">
    <w:name w:val="6ohh legal"/>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7ohhlegal">
    <w:name w:val="7ohh legal"/>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8ohhlegal">
    <w:name w:val="8ohh leg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1Paragraph">
    <w:name w:val="1Paragraph"/>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Paragraph">
    <w:name w:val="2Paragraph"/>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Paragraph">
    <w:name w:val="4Paragraph"/>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Paragraph">
    <w:name w:val="5Paragraph"/>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Paragraph">
    <w:name w:val="6Paragraph"/>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Paragraph">
    <w:name w:val="7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Paragraph">
    <w:name w:val="8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1ohhstandard">
    <w:name w:val="1ohh standard"/>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ohhstandard">
    <w:name w:val="2ohh standard"/>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ohhstandard">
    <w:name w:val="3ohh standard"/>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ohhstandard">
    <w:name w:val="4ohh standard"/>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ohhstandard">
    <w:name w:val="5ohh standard"/>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ohhstandard">
    <w:name w:val="6ohh standard"/>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ohhstandard">
    <w:name w:val="7ohh standard"/>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ohhstandard">
    <w:name w:val="8ohh standard"/>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2">
    <w:name w:val="2AutoList2"/>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AutoList2">
    <w:name w:val="3AutoList2"/>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ind w:firstLine="720" w:start="0" w:end="0"/>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spacing w:before="240" w:after="120"/>
      <w:ind w:hanging="0" w:start="360" w:end="0"/>
    </w:pPr>
    <w:rPr>
      <w:rFonts w:ascii="Albertus Medium" w:hAnsi="Albertus Medium" w:eastAsia="Albertus Medium" w:cs="Albertus Medium"/>
    </w:rPr>
  </w:style>
  <w:style w:type="paragraph" w:styleId="bodytext1">
    <w:name w:val="body text1"/>
    <w:basedOn w:val="Normal"/>
    <w:qFormat/>
    <w:pPr>
      <w:widowControl/>
      <w:ind w:firstLine="1440" w:start="0" w:end="0"/>
    </w:pPr>
    <w:rPr/>
  </w:style>
  <w:style w:type="paragraph" w:styleId="EY-Paragraph">
    <w:name w:val="EY-Paragraph"/>
    <w:basedOn w:val="Normal"/>
    <w:qFormat/>
    <w:pPr>
      <w:widowControl/>
      <w:spacing w:lineRule="atLeast" w:line="280"/>
      <w:jc w:val="start"/>
    </w:pPr>
    <w:rPr>
      <w:lang w:val="en-GB"/>
    </w:rPr>
  </w:style>
  <w:style w:type="paragraph" w:styleId="PlainText">
    <w:name w:val="Plain Text"/>
    <w:basedOn w:val="Normal"/>
    <w:qFormat/>
    <w:pPr>
      <w:spacing w:before="0" w:after="0"/>
      <w:jc w:val="start"/>
    </w:pPr>
    <w:rPr>
      <w:rFonts w:ascii="Courier New" w:hAnsi="Courier New" w:eastAsia="Courier New" w:cs="Courier New"/>
      <w:sz w:val="20"/>
      <w:szCs w:val="20"/>
    </w:rPr>
  </w:style>
  <w:style w:type="paragraph" w:styleId="WW-BodyText2">
    <w:name w:val="WW-Body Text 2"/>
    <w:basedOn w:val="Normal"/>
    <w:qFormat/>
    <w:pPr>
      <w:spacing w:lineRule="auto" w:line="360"/>
      <w:ind w:hanging="0" w:start="-90" w:end="0"/>
    </w:pPr>
    <w:rPr>
      <w:rFonts w:ascii="Arial" w:hAnsi="Arial" w:eastAsia="Arial" w:cs="Arial"/>
      <w:sz w:val="20"/>
      <w:szCs w:val="20"/>
    </w:rPr>
  </w:style>
  <w:style w:type="paragraph" w:styleId="BodyTextIndent3">
    <w:name w:val="Body Text Indent 3"/>
    <w:basedOn w:val="Normal"/>
    <w:qFormat/>
    <w:pPr>
      <w:spacing w:before="240" w:after="120"/>
      <w:ind w:hanging="0" w:start="360" w:end="0"/>
    </w:pPr>
    <w:rPr>
      <w:sz w:val="16"/>
      <w:szCs w:val="16"/>
    </w:rPr>
  </w:style>
  <w:style w:type="paragraph" w:styleId="A-Body">
    <w:name w:val="A-Body"/>
    <w:basedOn w:val="BodyTextIndent3"/>
    <w:qFormat/>
    <w:pPr>
      <w:widowControl/>
      <w:spacing w:lineRule="auto" w:line="360" w:before="120" w:after="120"/>
      <w:ind w:hanging="0" w:start="187" w:end="0"/>
    </w:pPr>
    <w:rPr>
      <w:sz w:val="20"/>
      <w:szCs w:val="20"/>
    </w:rPr>
  </w:style>
  <w:style w:type="paragraph" w:styleId="BodyText3">
    <w:name w:val="Body Text 3"/>
    <w:basedOn w:val="Normal"/>
    <w:qFormat/>
    <w:pPr/>
    <w:rPr>
      <w:sz w:val="22"/>
      <w:szCs w:val="22"/>
    </w:rPr>
  </w:style>
  <w:style w:type="paragraph" w:styleId="NormalWeb">
    <w:name w:val="Normal (Web)"/>
    <w:basedOn w:val="Normal"/>
    <w:qFormat/>
    <w:pPr>
      <w:widowControl/>
      <w:spacing w:before="100" w:after="100"/>
      <w:jc w:val="start"/>
    </w:pPr>
    <w:rPr>
      <w:rFonts w:ascii="Arial Unicode MS" w:hAnsi="Arial Unicode MS" w:eastAsia="Arial Unicode MS" w:cs="Arial Unicode MS"/>
      <w:color w:val="00000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2000-08-08T16:27:00Z</dcterms:created>
  <dc:creator>KRAMREITHER TONY</dc:creator>
  <dc:description/>
  <dc:language>en-CA</dc:language>
  <cp:lastModifiedBy>cjohnson</cp:lastModifiedBy>
  <cp:lastPrinted>2000-08-08T14:48:00Z</cp:lastPrinted>
  <dcterms:modified xsi:type="dcterms:W3CDTF">2000-08-08T16:27:00Z</dcterms:modified>
  <cp:revision>2</cp:revision>
  <dc:subject/>
  <dc:title>Online Services and License Agree (Short)</dc:title>
</cp:coreProperties>
</file>