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sz w:val="20"/>
        </w:rPr>
      </w:pPr>
      <w:r>
        <w:rPr/>
        <w:drawing>
          <wp:inline distT="0" distB="0" distL="0" distR="0">
            <wp:extent cx="1139190" cy="1134745"/>
            <wp:effectExtent l="0" t="0" r="0" b="0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39" r="-39" b="-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9190" cy="1134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StartOfMemo"/>
      <w:bookmarkEnd w:id="0"/>
    </w:p>
    <w:p>
      <w:pPr>
        <w:pStyle w:val="Heading"/>
        <w:rPr>
          <w:sz w:val="20"/>
        </w:rPr>
      </w:pPr>
      <w:r>
        <w:rPr>
          <w:sz w:val="20"/>
        </w:rPr>
      </w:r>
    </w:p>
    <w:p>
      <w:pPr>
        <w:pStyle w:val="Heading"/>
        <w:rPr>
          <w:sz w:val="20"/>
        </w:rPr>
      </w:pPr>
      <w:r>
        <w:rPr>
          <w:sz w:val="20"/>
        </w:rPr>
      </w:r>
    </w:p>
    <w:p>
      <w:pPr>
        <w:pStyle w:val="Heading"/>
        <w:rPr>
          <w:sz w:val="20"/>
        </w:rPr>
      </w:pPr>
      <w:r>
        <w:rPr>
          <w:sz w:val="20"/>
        </w:rPr>
      </w:r>
    </w:p>
    <w:tbl>
      <w:tblPr>
        <w:tblW w:w="10926" w:type="dxa"/>
        <w:jc w:val="start"/>
        <w:tblInd w:w="20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042"/>
        <w:gridCol w:w="5812"/>
        <w:gridCol w:w="1417"/>
        <w:gridCol w:w="2655"/>
      </w:tblGrid>
      <w:tr>
        <w:trPr>
          <w:trHeight w:val="400" w:hRule="atLeast"/>
        </w:trPr>
        <w:tc>
          <w:tcPr>
            <w:tcW w:w="1042" w:type="dxa"/>
            <w:tcBorders/>
          </w:tcPr>
          <w:p>
            <w:pPr>
              <w:pStyle w:val="Normal"/>
              <w:ind w:start="-180" w:end="0"/>
              <w:jc w:val="end"/>
              <w:rPr>
                <w:sz w:val="20"/>
              </w:rPr>
            </w:pPr>
            <w:r>
              <w:rPr>
                <w:sz w:val="20"/>
              </w:rPr>
              <w:t>To:</w:t>
            </w:r>
          </w:p>
        </w:tc>
        <w:tc>
          <w:tcPr>
            <w:tcW w:w="5812" w:type="dxa"/>
            <w:tcBorders/>
          </w:tcPr>
          <w:p>
            <w:pPr>
              <w:pStyle w:val="To"/>
              <w:rPr/>
            </w:pPr>
            <w:r>
              <w:rPr/>
              <w:t>John Sheriff</w:t>
            </w:r>
          </w:p>
          <w:p>
            <w:pPr>
              <w:pStyle w:val="To"/>
              <w:rPr/>
            </w:pPr>
            <w:r>
              <w:rPr/>
            </w:r>
          </w:p>
        </w:tc>
        <w:tc>
          <w:tcPr>
            <w:tcW w:w="1417" w:type="dxa"/>
            <w:tcBorders/>
          </w:tcPr>
          <w:p>
            <w:pPr>
              <w:pStyle w:val="Normal"/>
              <w:ind w:start="-180" w:end="0"/>
              <w:jc w:val="end"/>
              <w:rPr>
                <w:sz w:val="20"/>
              </w:rPr>
            </w:pPr>
            <w:r>
              <w:rPr>
                <w:sz w:val="20"/>
              </w:rPr>
              <w:t>Date:</w:t>
            </w:r>
          </w:p>
        </w:tc>
        <w:tc>
          <w:tcPr>
            <w:tcW w:w="2655" w:type="dxa"/>
            <w:tcBorders/>
          </w:tcPr>
          <w:p>
            <w:pPr>
              <w:pStyle w:val="Date"/>
              <w:rPr/>
            </w:pPr>
            <w:r>
              <w:rPr/>
              <w:t>20 November, 2001</w:t>
            </w:r>
          </w:p>
        </w:tc>
      </w:tr>
      <w:tr>
        <w:trPr>
          <w:trHeight w:val="400" w:hRule="atLeast"/>
        </w:trPr>
        <w:tc>
          <w:tcPr>
            <w:tcW w:w="1042" w:type="dxa"/>
            <w:tcBorders/>
          </w:tcPr>
          <w:p>
            <w:pPr>
              <w:pStyle w:val="Normal"/>
              <w:jc w:val="end"/>
              <w:rPr>
                <w:sz w:val="20"/>
              </w:rPr>
            </w:pPr>
            <w:r>
              <w:rPr>
                <w:sz w:val="20"/>
              </w:rPr>
              <w:t>From:</w:t>
            </w:r>
          </w:p>
        </w:tc>
        <w:tc>
          <w:tcPr>
            <w:tcW w:w="5812" w:type="dxa"/>
            <w:tcBorders/>
          </w:tcPr>
          <w:p>
            <w:pPr>
              <w:pStyle w:val="From"/>
              <w:rPr/>
            </w:pPr>
            <w:r>
              <w:rPr/>
              <w:t>Ankush Sen</w:t>
            </w:r>
          </w:p>
          <w:p>
            <w:pPr>
              <w:pStyle w:val="From"/>
              <w:rPr/>
            </w:pPr>
            <w:r>
              <w:rPr/>
            </w:r>
          </w:p>
        </w:tc>
        <w:tc>
          <w:tcPr>
            <w:tcW w:w="1417" w:type="dxa"/>
            <w:tcBorders/>
          </w:tcPr>
          <w:p>
            <w:pPr>
              <w:pStyle w:val="Normal"/>
              <w:ind w:start="-180" w:end="0"/>
              <w:jc w:val="end"/>
              <w:rPr>
                <w:sz w:val="20"/>
              </w:rPr>
            </w:pPr>
            <w:r>
              <w:rPr>
                <w:sz w:val="20"/>
              </w:rPr>
              <w:t>Department:</w:t>
            </w:r>
          </w:p>
        </w:tc>
        <w:tc>
          <w:tcPr>
            <w:tcW w:w="2655" w:type="dxa"/>
            <w:tcBorders/>
          </w:tcPr>
          <w:p>
            <w:pPr>
              <w:pStyle w:val="Department"/>
              <w:rPr/>
            </w:pPr>
            <w:bookmarkStart w:id="1" w:name="From"/>
            <w:bookmarkEnd w:id="1"/>
            <w:r>
              <w:rPr/>
              <w:t>ECT-Europe</w:t>
            </w:r>
          </w:p>
        </w:tc>
      </w:tr>
      <w:tr>
        <w:trPr>
          <w:trHeight w:val="400" w:hRule="atLeast"/>
        </w:trPr>
        <w:tc>
          <w:tcPr>
            <w:tcW w:w="1042" w:type="dxa"/>
            <w:tcBorders/>
          </w:tcPr>
          <w:p>
            <w:pPr>
              <w:pStyle w:val="Normal"/>
              <w:ind w:start="-180" w:end="0"/>
              <w:jc w:val="end"/>
              <w:rPr>
                <w:sz w:val="20"/>
              </w:rPr>
            </w:pPr>
            <w:r>
              <w:rPr>
                <w:sz w:val="20"/>
              </w:rPr>
              <w:t>CC:</w:t>
            </w:r>
          </w:p>
        </w:tc>
        <w:tc>
          <w:tcPr>
            <w:tcW w:w="5812" w:type="dxa"/>
            <w:tcBorders/>
          </w:tcPr>
          <w:p>
            <w:pPr>
              <w:pStyle w:val="Subject"/>
              <w:rPr/>
            </w:pPr>
            <w:r>
              <w:rPr/>
              <w:t>Ted Murphy, Mike Farmer, Mike Hutchinson, Mike Jordan</w:t>
            </w:r>
          </w:p>
          <w:p>
            <w:pPr>
              <w:pStyle w:val="Subject"/>
              <w:rPr>
                <w:b/>
                <w:u w:val="single"/>
              </w:rPr>
            </w:pPr>
            <w:r>
              <w:rPr>
                <w:b/>
                <w:u w:val="single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snapToGrid w:val="false"/>
              <w:ind w:start="-180" w:end="0"/>
              <w:jc w:val="end"/>
              <w:rPr>
                <w:b/>
                <w:sz w:val="20"/>
                <w:u w:val="single"/>
              </w:rPr>
            </w:pPr>
            <w:r>
              <w:rPr>
                <w:b/>
                <w:sz w:val="20"/>
                <w:u w:val="single"/>
              </w:rPr>
            </w:r>
          </w:p>
        </w:tc>
        <w:tc>
          <w:tcPr>
            <w:tcW w:w="2655" w:type="dxa"/>
            <w:tcBorders/>
          </w:tcPr>
          <w:p>
            <w:pPr>
              <w:pStyle w:val="Date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400" w:hRule="atLeast"/>
        </w:trPr>
        <w:tc>
          <w:tcPr>
            <w:tcW w:w="1042" w:type="dxa"/>
            <w:tcBorders/>
          </w:tcPr>
          <w:p>
            <w:pPr>
              <w:pStyle w:val="Normal"/>
              <w:ind w:start="-180" w:end="0"/>
              <w:jc w:val="end"/>
              <w:rPr>
                <w:sz w:val="20"/>
              </w:rPr>
            </w:pPr>
            <w:r>
              <w:rPr>
                <w:sz w:val="20"/>
              </w:rPr>
              <w:t>Subject:</w:t>
            </w:r>
          </w:p>
        </w:tc>
        <w:tc>
          <w:tcPr>
            <w:tcW w:w="5812" w:type="dxa"/>
            <w:tcBorders/>
          </w:tcPr>
          <w:p>
            <w:pPr>
              <w:pStyle w:val="Subject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Risk Management Trading Policy Violation </w:t>
            </w:r>
          </w:p>
        </w:tc>
        <w:tc>
          <w:tcPr>
            <w:tcW w:w="1417" w:type="dxa"/>
            <w:tcBorders/>
          </w:tcPr>
          <w:p>
            <w:pPr>
              <w:pStyle w:val="Normal"/>
              <w:snapToGrid w:val="false"/>
              <w:ind w:start="-180" w:end="0"/>
              <w:jc w:val="end"/>
              <w:rPr>
                <w:b/>
                <w:sz w:val="20"/>
                <w:u w:val="single"/>
              </w:rPr>
            </w:pPr>
            <w:r>
              <w:rPr>
                <w:b/>
                <w:sz w:val="20"/>
                <w:u w:val="single"/>
              </w:rPr>
            </w:r>
          </w:p>
        </w:tc>
        <w:tc>
          <w:tcPr>
            <w:tcW w:w="2655" w:type="dxa"/>
            <w:tcBorders/>
          </w:tcPr>
          <w:p>
            <w:pPr>
              <w:pStyle w:val="Date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</w:tbl>
    <w:p>
      <w:pPr>
        <w:pStyle w:val="Body"/>
        <w:rPr/>
      </w:pPr>
      <w:r>
        <w:rPr/>
      </w:r>
    </w:p>
    <w:p>
      <w:pPr>
        <w:pStyle w:val="Body"/>
        <w:rPr/>
      </w:pPr>
      <w:r>
        <w:rPr/>
      </w:r>
    </w:p>
    <w:p>
      <w:pPr>
        <w:pStyle w:val="Body"/>
        <w:ind w:start="0" w:end="0"/>
        <w:jc w:val="both"/>
        <w:rPr/>
      </w:pPr>
      <w:r>
        <w:rPr/>
      </w:r>
    </w:p>
    <w:p>
      <w:pPr>
        <w:pStyle w:val="Body"/>
        <w:ind w:start="0" w:end="0"/>
        <w:jc w:val="both"/>
        <w:rPr/>
      </w:pPr>
      <w:r>
        <w:rPr/>
        <w:t xml:space="preserve">Please note the occurrence of a Risk Management Trading Policy violation with respect to the </w:t>
      </w:r>
      <w:r>
        <w:rPr>
          <w:b/>
        </w:rPr>
        <w:t xml:space="preserve">Enron Metals – </w:t>
      </w:r>
      <w:r>
        <w:rPr/>
        <w:t>Five Day Loss Limit</w:t>
      </w:r>
      <w:r>
        <w:rPr>
          <w:b/>
        </w:rPr>
        <w:t xml:space="preserve"> - </w:t>
      </w:r>
      <w:r>
        <w:rPr/>
        <w:t>as of business day 13</w:t>
      </w:r>
      <w:r>
        <w:rPr>
          <w:vertAlign w:val="superscript"/>
        </w:rPr>
        <w:t>th</w:t>
      </w:r>
      <w:r>
        <w:rPr/>
        <w:t xml:space="preserve"> November 2001.</w:t>
      </w:r>
    </w:p>
    <w:p>
      <w:pPr>
        <w:pStyle w:val="Body"/>
        <w:jc w:val="both"/>
        <w:rPr/>
      </w:pPr>
      <w:r>
        <w:rPr/>
      </w:r>
    </w:p>
    <w:p>
      <w:pPr>
        <w:pStyle w:val="Body"/>
        <w:ind w:start="0" w:end="0"/>
        <w:jc w:val="both"/>
        <w:rPr>
          <w:b/>
        </w:rPr>
      </w:pPr>
      <w:r>
        <w:rPr>
          <w:b/>
        </w:rPr>
      </w:r>
    </w:p>
    <w:p>
      <w:pPr>
        <w:pStyle w:val="Body"/>
        <w:ind w:start="0" w:end="0"/>
        <w:jc w:val="both"/>
        <w:rPr/>
      </w:pPr>
      <w:r>
        <w:rPr>
          <w:b/>
        </w:rPr>
        <w:t xml:space="preserve">Occurrence: </w:t>
      </w:r>
      <w:r>
        <w:rPr/>
        <w:t>The five day total loss for 13</w:t>
      </w:r>
      <w:r>
        <w:rPr>
          <w:vertAlign w:val="superscript"/>
        </w:rPr>
        <w:t>th</w:t>
      </w:r>
      <w:r>
        <w:rPr/>
        <w:t xml:space="preserve"> November 2001 was $(19.2m) (240% of the VaR limit). </w:t>
      </w:r>
    </w:p>
    <w:p>
      <w:pPr>
        <w:pStyle w:val="Body"/>
        <w:ind w:start="0" w:end="0"/>
        <w:jc w:val="both"/>
        <w:rPr/>
      </w:pPr>
      <w:r>
        <w:rPr/>
      </w:r>
    </w:p>
    <w:p>
      <w:pPr>
        <w:pStyle w:val="Body"/>
        <w:ind w:start="0" w:end="0"/>
        <w:jc w:val="both"/>
        <w:rPr/>
      </w:pPr>
      <w:r>
        <w:rPr/>
        <w:t>This loss was generated by upward shifts in the Aluminium, Copper and Nickel curves between 9</w:t>
      </w:r>
      <w:r>
        <w:rPr>
          <w:vertAlign w:val="superscript"/>
        </w:rPr>
        <w:t>th</w:t>
      </w:r>
      <w:r>
        <w:rPr/>
        <w:t xml:space="preserve"> November 2001 and 13</w:t>
      </w:r>
      <w:r>
        <w:rPr>
          <w:vertAlign w:val="superscript"/>
        </w:rPr>
        <w:t>th</w:t>
      </w:r>
      <w:r>
        <w:rPr/>
        <w:t xml:space="preserve"> November 2001. </w:t>
      </w:r>
    </w:p>
    <w:p>
      <w:pPr>
        <w:pStyle w:val="Body"/>
        <w:ind w:start="0" w:end="0"/>
        <w:jc w:val="both"/>
        <w:rPr/>
      </w:pPr>
      <w:r>
        <w:rPr/>
      </w:r>
    </w:p>
    <w:p>
      <w:pPr>
        <w:pStyle w:val="Body"/>
        <w:ind w:start="0" w:end="0"/>
        <w:jc w:val="both"/>
        <w:rPr>
          <w:b/>
        </w:rPr>
      </w:pPr>
      <w:r>
        <w:rPr>
          <w:b/>
        </w:rPr>
      </w:r>
    </w:p>
    <w:p>
      <w:pPr>
        <w:pStyle w:val="Body"/>
        <w:ind w:start="0" w:end="0"/>
        <w:jc w:val="both"/>
        <w:rPr>
          <w:b/>
        </w:rPr>
      </w:pPr>
      <w:r>
        <w:rPr>
          <w:b/>
        </w:rPr>
        <w:t>Explanation:</w:t>
      </w:r>
    </w:p>
    <w:p>
      <w:pPr>
        <w:pStyle w:val="Body"/>
        <w:ind w:start="0" w:end="0"/>
        <w:jc w:val="both"/>
        <w:rPr>
          <w:b/>
        </w:rPr>
      </w:pPr>
      <w:r>
        <w:rPr>
          <w:b/>
        </w:rPr>
      </w:r>
    </w:p>
    <w:p>
      <w:pPr>
        <w:pStyle w:val="Body"/>
        <w:ind w:start="0" w:end="0"/>
        <w:jc w:val="both"/>
        <w:rPr>
          <w:u w:val="single"/>
        </w:rPr>
      </w:pPr>
      <w:r>
        <w:rPr>
          <w:u w:val="single"/>
        </w:rPr>
      </w:r>
    </w:p>
    <w:p>
      <w:pPr>
        <w:pStyle w:val="Body"/>
        <w:ind w:start="0" w:end="0"/>
        <w:jc w:val="both"/>
        <w:rPr/>
      </w:pPr>
      <w:r>
        <w:rPr>
          <w:b/>
        </w:rPr>
        <w:t>Copper:</w:t>
      </w:r>
      <w:r>
        <w:rPr/>
        <w:t xml:space="preserve"> $(6,900,000)</w:t>
      </w:r>
    </w:p>
    <w:p>
      <w:pPr>
        <w:pStyle w:val="Body"/>
        <w:ind w:start="0" w:end="0"/>
        <w:jc w:val="both"/>
        <w:rPr/>
      </w:pPr>
      <w:r>
        <w:rPr/>
        <w:t>12</w:t>
      </w:r>
      <w:r>
        <w:rPr>
          <w:vertAlign w:val="superscript"/>
        </w:rPr>
        <w:t>th</w:t>
      </w:r>
      <w:r>
        <w:rPr/>
        <w:t xml:space="preserve"> November 2001:</w:t>
        <w:tab/>
        <w:t xml:space="preserve">3 month price up $49. </w:t>
      </w:r>
      <w:r>
        <w:rPr>
          <w:i/>
        </w:rPr>
        <w:t>Outright position loss: $(4,300,000) on short 88,400t</w:t>
      </w:r>
    </w:p>
    <w:p>
      <w:pPr>
        <w:pStyle w:val="Body"/>
        <w:ind w:start="0" w:end="0"/>
        <w:jc w:val="both"/>
        <w:rPr/>
      </w:pPr>
      <w:r>
        <w:rPr>
          <w:i/>
        </w:rPr>
        <w:tab/>
        <w:tab/>
        <w:tab/>
      </w:r>
      <w:r>
        <w:rPr>
          <w:iCs/>
        </w:rPr>
        <w:t>Forward P&amp;L from contango narrowing $1,900,000</w:t>
      </w:r>
    </w:p>
    <w:p>
      <w:pPr>
        <w:pStyle w:val="Body"/>
        <w:ind w:start="0" w:end="0"/>
        <w:jc w:val="both"/>
        <w:rPr/>
      </w:pPr>
      <w:r>
        <w:rPr/>
        <w:t>13</w:t>
      </w:r>
      <w:r>
        <w:rPr>
          <w:vertAlign w:val="superscript"/>
        </w:rPr>
        <w:t>th</w:t>
      </w:r>
      <w:r>
        <w:rPr/>
        <w:t xml:space="preserve"> November 2001:</w:t>
        <w:tab/>
        <w:t xml:space="preserve">3 month price up $54 </w:t>
      </w:r>
      <w:r>
        <w:rPr>
          <w:i/>
        </w:rPr>
        <w:t>Outright position loss: $(5,400,000) on short 99,500t</w:t>
      </w:r>
    </w:p>
    <w:p>
      <w:pPr>
        <w:pStyle w:val="Body"/>
        <w:ind w:firstLine="720" w:start="1440" w:end="0"/>
        <w:jc w:val="both"/>
        <w:rPr>
          <w:iCs/>
        </w:rPr>
      </w:pPr>
      <w:r>
        <w:rPr>
          <w:iCs/>
        </w:rPr>
        <w:t>Forward P&amp;L from contango narrowing and new deals $900,000</w:t>
      </w:r>
    </w:p>
    <w:p>
      <w:pPr>
        <w:pStyle w:val="Body"/>
        <w:ind w:start="0" w:end="0"/>
        <w:jc w:val="both"/>
        <w:rPr>
          <w:i/>
          <w:i/>
          <w:iCs/>
        </w:rPr>
      </w:pPr>
      <w:r>
        <w:rPr>
          <w:i/>
          <w:iCs/>
        </w:rPr>
      </w:r>
    </w:p>
    <w:p>
      <w:pPr>
        <w:pStyle w:val="Body"/>
        <w:ind w:start="0" w:end="0"/>
        <w:jc w:val="both"/>
        <w:rPr/>
      </w:pPr>
      <w:r>
        <w:rPr>
          <w:b/>
        </w:rPr>
        <w:t>Nickel:</w:t>
      </w:r>
      <w:r>
        <w:rPr/>
        <w:t xml:space="preserve"> $(5,450,000)</w:t>
      </w:r>
    </w:p>
    <w:p>
      <w:pPr>
        <w:pStyle w:val="Body"/>
        <w:ind w:start="0" w:end="0"/>
        <w:jc w:val="both"/>
        <w:rPr/>
      </w:pPr>
      <w:r>
        <w:rPr/>
        <w:t>12</w:t>
      </w:r>
      <w:r>
        <w:rPr>
          <w:vertAlign w:val="superscript"/>
        </w:rPr>
        <w:t>th</w:t>
      </w:r>
      <w:r>
        <w:rPr/>
        <w:t xml:space="preserve"> November 2001:</w:t>
        <w:tab/>
        <w:t xml:space="preserve">3 month price up $270. </w:t>
      </w:r>
      <w:r>
        <w:rPr>
          <w:i/>
        </w:rPr>
        <w:t>Outright position loss: $(1,200,000) on short 4,400t</w:t>
      </w:r>
      <w:r>
        <w:rPr/>
        <w:t xml:space="preserve"> </w:t>
      </w:r>
    </w:p>
    <w:p>
      <w:pPr>
        <w:pStyle w:val="Body"/>
        <w:ind w:start="0" w:end="0"/>
        <w:jc w:val="both"/>
        <w:rPr/>
      </w:pPr>
      <w:r>
        <w:rPr/>
        <w:t>13</w:t>
      </w:r>
      <w:r>
        <w:rPr>
          <w:vertAlign w:val="superscript"/>
        </w:rPr>
        <w:t>th</w:t>
      </w:r>
      <w:r>
        <w:rPr/>
        <w:t xml:space="preserve"> November 2001:</w:t>
        <w:tab/>
        <w:t xml:space="preserve">3 month price up $515. </w:t>
      </w:r>
      <w:r>
        <w:rPr>
          <w:i/>
        </w:rPr>
        <w:t>Outright position loss: $(4,900,000) on short 9,700t.</w:t>
      </w:r>
    </w:p>
    <w:p>
      <w:pPr>
        <w:pStyle w:val="Body"/>
        <w:ind w:start="0" w:end="0"/>
        <w:jc w:val="both"/>
        <w:rPr>
          <w:u w:val="single"/>
        </w:rPr>
      </w:pPr>
      <w:r>
        <w:rPr>
          <w:u w:val="single"/>
        </w:rPr>
      </w:r>
    </w:p>
    <w:p>
      <w:pPr>
        <w:pStyle w:val="Body"/>
        <w:ind w:start="0" w:end="0"/>
        <w:jc w:val="both"/>
        <w:rPr/>
      </w:pPr>
      <w:r>
        <w:rPr>
          <w:b/>
        </w:rPr>
        <w:t>Aluminium:</w:t>
      </w:r>
      <w:r>
        <w:rPr/>
        <w:t xml:space="preserve"> $(3,100,000)</w:t>
      </w:r>
    </w:p>
    <w:p>
      <w:pPr>
        <w:pStyle w:val="Body"/>
        <w:ind w:start="0" w:end="0"/>
        <w:jc w:val="both"/>
        <w:rPr/>
      </w:pPr>
      <w:r>
        <w:rPr/>
        <w:t>12</w:t>
      </w:r>
      <w:r>
        <w:rPr>
          <w:vertAlign w:val="superscript"/>
        </w:rPr>
        <w:t>th</w:t>
      </w:r>
      <w:r>
        <w:rPr/>
        <w:t xml:space="preserve"> November 2001:</w:t>
        <w:tab/>
        <w:t xml:space="preserve">3 month price up $40. </w:t>
      </w:r>
      <w:r>
        <w:rPr>
          <w:i/>
        </w:rPr>
        <w:t>Outright position loss: $(3,900,000) on short 98,600t</w:t>
      </w:r>
    </w:p>
    <w:p>
      <w:pPr>
        <w:pStyle w:val="Body"/>
        <w:ind w:start="0" w:end="0"/>
        <w:jc w:val="both"/>
        <w:rPr/>
      </w:pPr>
      <w:r>
        <w:rPr/>
        <w:tab/>
        <w:tab/>
        <w:tab/>
      </w:r>
      <w:r>
        <w:rPr>
          <w:iCs/>
        </w:rPr>
        <w:t>Forward P&amp;L from contango narrowing and new deals $2,800,000</w:t>
      </w:r>
    </w:p>
    <w:p>
      <w:pPr>
        <w:pStyle w:val="Body"/>
        <w:ind w:start="0" w:end="0"/>
        <w:jc w:val="both"/>
        <w:rPr/>
      </w:pPr>
      <w:r>
        <w:rPr/>
        <w:t>13</w:t>
      </w:r>
      <w:r>
        <w:rPr>
          <w:vertAlign w:val="superscript"/>
        </w:rPr>
        <w:t>th</w:t>
      </w:r>
      <w:r>
        <w:rPr/>
        <w:t xml:space="preserve"> November 2001:</w:t>
        <w:tab/>
        <w:t xml:space="preserve">3 month price up $43. </w:t>
      </w:r>
      <w:r>
        <w:rPr>
          <w:i/>
        </w:rPr>
        <w:t>Outright position loss: $(5,300,000) on short 123,000t.</w:t>
      </w:r>
    </w:p>
    <w:p>
      <w:pPr>
        <w:pStyle w:val="Body"/>
        <w:ind w:start="2160" w:end="0"/>
        <w:jc w:val="both"/>
        <w:rPr/>
      </w:pPr>
      <w:r>
        <w:rPr/>
        <w:t xml:space="preserve">Contango for Cash to 27 month narrowed $7. </w:t>
      </w:r>
      <w:r>
        <w:rPr>
          <w:i/>
        </w:rPr>
        <w:t>Spread gain: $2,900,000 on long before short 415,000t position.</w:t>
      </w:r>
    </w:p>
    <w:p>
      <w:pPr>
        <w:pStyle w:val="Body"/>
        <w:ind w:start="0" w:end="0"/>
        <w:jc w:val="both"/>
        <w:rPr>
          <w:color w:val="808080"/>
        </w:rPr>
      </w:pPr>
      <w:r>
        <w:rPr>
          <w:color w:val="808080"/>
        </w:rPr>
      </w:r>
    </w:p>
    <w:p>
      <w:pPr>
        <w:pStyle w:val="Body"/>
        <w:ind w:start="0" w:end="0"/>
        <w:rPr>
          <w:b/>
          <w:color w:val="808080"/>
        </w:rPr>
      </w:pPr>
      <w:r>
        <w:rPr>
          <w:b/>
          <w:color w:val="808080"/>
        </w:rPr>
      </w:r>
    </w:p>
    <w:p>
      <w:pPr>
        <w:pStyle w:val="Body"/>
        <w:ind w:start="0" w:end="0"/>
        <w:rPr>
          <w:b/>
        </w:rPr>
      </w:pPr>
      <w:r>
        <w:rPr>
          <w:b/>
        </w:rPr>
        <w:t>Approval:</w:t>
      </w:r>
    </w:p>
    <w:p>
      <w:pPr>
        <w:pStyle w:val="Body"/>
        <w:ind w:start="0" w:end="0"/>
        <w:rPr>
          <w:b/>
        </w:rPr>
      </w:pPr>
      <w:r>
        <w:rPr>
          <w:b/>
        </w:rPr>
      </w:r>
    </w:p>
    <w:p>
      <w:pPr>
        <w:pStyle w:val="Body"/>
        <w:ind w:start="0" w:end="0"/>
        <w:rPr/>
      </w:pPr>
      <w:r>
        <w:rPr/>
        <w:t>Joe Gold</w:t>
      </w:r>
    </w:p>
    <w:p>
      <w:pPr>
        <w:pStyle w:val="Body"/>
        <w:ind w:start="0" w:end="0"/>
        <w:rPr/>
      </w:pPr>
      <w:r>
        <w:rPr/>
        <w:t xml:space="preserve">President, Enron Europe Metals </w:t>
      </w:r>
    </w:p>
    <w:p>
      <w:pPr>
        <w:pStyle w:val="Body"/>
        <w:ind w:start="0" w:end="0"/>
        <w:rPr/>
      </w:pPr>
      <w:r>
        <w:rPr/>
      </w:r>
    </w:p>
    <w:p>
      <w:pPr>
        <w:pStyle w:val="Body"/>
        <w:ind w:start="0" w:end="0"/>
        <w:rPr/>
      </w:pPr>
      <w:r>
        <w:rPr/>
      </w:r>
    </w:p>
    <w:p>
      <w:pPr>
        <w:pStyle w:val="Body"/>
        <w:ind w:start="0" w:end="0"/>
        <w:rPr/>
      </w:pPr>
      <w:r>
        <w:rPr/>
        <w:t>Andrew Cornfield</w:t>
      </w:r>
    </w:p>
    <w:p>
      <w:pPr>
        <w:pStyle w:val="Body"/>
        <w:ind w:start="0" w:end="0"/>
        <w:rPr/>
      </w:pPr>
      <w:r>
        <w:rPr/>
        <w:t>Director, Trading Support</w:t>
      </w:r>
    </w:p>
    <w:p>
      <w:pPr>
        <w:pStyle w:val="Body"/>
        <w:ind w:start="0" w:end="0"/>
        <w:rPr/>
      </w:pPr>
      <w:r>
        <w:rPr/>
      </w:r>
    </w:p>
    <w:sectPr>
      <w:headerReference w:type="default" r:id="rId3"/>
      <w:headerReference w:type="first" r:id="rId4"/>
      <w:footerReference w:type="default" r:id="rId5"/>
      <w:footerReference w:type="first" r:id="rId6"/>
      <w:type w:val="nextPage"/>
      <w:pgSz w:w="11906" w:h="16838"/>
      <w:pgMar w:left="720" w:right="720" w:gutter="0" w:header="720" w:top="776" w:footer="360" w:bottom="416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G Times (WN)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</w:tabs>
      <w:jc w:val="center"/>
      <w:rPr>
        <w:b/>
        <w:sz w:val="16"/>
      </w:rPr>
    </w:pPr>
    <w:r>
      <w:rPr>
        <w:b/>
        <w:sz w:val="16"/>
      </w:rPr>
      <w:t>Your Personal Best Makes Enron Best</w:t>
      <w:tab/>
      <w:t>Communicate- Facts Are Friendly</w:t>
      <w:tab/>
      <w:tab/>
      <w:t>Better, Faster, Simpler</w:t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</w:tabs>
      <w:rPr>
        <w:sz w:val="12"/>
      </w:rPr>
    </w:pPr>
    <w:r>
      <w:rPr>
        <w:sz w:val="12"/>
      </w:rPr>
      <w:t>Form 000-469-1 (5/92)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lear" w:pos="8640"/>
        <w:tab w:val="center" w:pos="5760" w:leader="none"/>
        <w:tab w:val="right" w:pos="10800" w:leader="none"/>
      </w:tabs>
      <w:rPr>
        <w:b/>
        <w:sz w:val="16"/>
      </w:rPr>
    </w:pPr>
    <w:r>
      <w:rPr>
        <w:b/>
        <w:sz w:val="16"/>
      </w:rPr>
      <w:t>Your Personal Best Makes Enron Best</w:t>
      <w:tab/>
      <w:t>Communicate- Facts Are Friendly</w:t>
      <w:tab/>
      <w:t>Better, Faster, Simpler</w:t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  <w:tab w:val="right" w:pos="10800" w:leader="none"/>
      </w:tabs>
      <w:rPr>
        <w:b/>
        <w:sz w:val="16"/>
      </w:rPr>
    </w:pPr>
    <w:r>
      <w:rPr>
        <w:b/>
        <w:sz w:val="16"/>
      </w:rPr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  <w:tab w:val="right" w:pos="10800" w:leader="none"/>
      </w:tabs>
      <w:rPr>
        <w:sz w:val="12"/>
      </w:rPr>
    </w:pPr>
    <w:r>
      <w:rPr>
        <w:sz w:val="12"/>
      </w:rPr>
      <w:t>Form 000-469-1 (7/92)</w:t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  <w:tab w:val="right" w:pos="10800" w:leader="none"/>
      </w:tabs>
      <w:rPr>
        <w:sz w:val="8"/>
      </w:rPr>
    </w:pPr>
    <w:r>
      <w:rPr>
        <w:sz w:val="8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tab/>
    </w:r>
    <w:r>
      <w:rPr/>
      <w:fldChar w:fldCharType="begin"/>
    </w:r>
    <w:r>
      <w:rPr/>
      <w:instrText xml:space="preserve"> DATE \@"M-d-yyyy" </w:instrText>
    </w:r>
    <w:r>
      <w:rPr/>
      <w:fldChar w:fldCharType="separate"/>
    </w:r>
    <w:r>
      <w:rPr/>
      <w:t>9/28/2025</w:t>
    </w:r>
    <w:r>
      <w:rPr/>
      <w:fldChar w:fldCharType="end"/>
    </w:r>
    <w:r>
      <w:rPr/>
      <w:tab/>
      <w:t xml:space="preserve">Page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0</w:t>
    </w:r>
    <w:r>
      <w:rPr/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  <w:r>
      <mc:AlternateContent>
        <mc:Choice Requires="wps">
          <w:drawing>
            <wp:anchor behindDoc="0" distT="0" distB="0" distL="118745" distR="118745" simplePos="0" locked="0" layoutInCell="0" allowOverlap="1" relativeHeight="3">
              <wp:simplePos x="0" y="0"/>
              <wp:positionH relativeFrom="page">
                <wp:posOffset>2561590</wp:posOffset>
              </wp:positionH>
              <wp:positionV relativeFrom="paragraph">
                <wp:posOffset>99060</wp:posOffset>
              </wp:positionV>
              <wp:extent cx="3877310" cy="658495"/>
              <wp:effectExtent l="0" t="0" r="0" b="0"/>
              <wp:wrapSquare wrapText="bothSides"/>
              <wp:docPr id="2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77310" cy="65849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ind w:start="3600" w:end="0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sz w:val="32"/>
                            </w:rPr>
                            <w:t>InterofficeMemorandum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305.3pt;height:51.85pt;mso-wrap-distance-left:9.35pt;mso-wrap-distance-right:9.35pt;mso-wrap-distance-top:0pt;mso-wrap-distance-bottom:0pt;margin-top:7.8pt;mso-position-vertical-relative:text;margin-left:201.7pt;mso-position-horizontal-relative:page">
              <v:fill opacity="0f"/>
              <v:textbox inset="0in,0in,0in,0in">
                <w:txbxContent>
                  <w:p>
                    <w:pPr>
                      <w:pStyle w:val="Normal"/>
                      <w:ind w:start="3600" w:end="0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t>InterofficeMemorandum</w:t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tabs>
        <w:tab w:val="clear" w:pos="720"/>
        <w:tab w:val="left" w:pos="540" w:leader="none"/>
      </w:tabs>
      <w:bidi w:val="0"/>
    </w:pPr>
    <w:rPr>
      <w:rFonts w:ascii="Arial" w:hAnsi="Arial" w:eastAsia="Times New Roman" w:cs="Arial"/>
      <w:color w:val="auto"/>
      <w:sz w:val="24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sz w:val="20"/>
    </w:rPr>
  </w:style>
  <w:style w:type="paragraph" w:styleId="Heading3">
    <w:name w:val="heading 3"/>
    <w:basedOn w:val="Normal"/>
    <w:next w:val="NormalIndent"/>
    <w:qFormat/>
    <w:pPr>
      <w:numPr>
        <w:ilvl w:val="2"/>
        <w:numId w:val="1"/>
      </w:numPr>
      <w:ind w:hanging="0" w:start="360" w:end="0"/>
      <w:outlineLvl w:val="2"/>
    </w:pPr>
    <w:rPr>
      <w:rFonts w:ascii="CG Times (WN)" w:hAnsi="CG Times (WN)" w:cs="CG Times (WN)"/>
      <w:b/>
    </w:rPr>
  </w:style>
  <w:style w:type="character" w:styleId="WW8Num1z0">
    <w:name w:val="WW8Num1z0"/>
    <w:qFormat/>
    <w:rPr/>
  </w:style>
  <w:style w:type="character" w:styleId="WW8Num3z0">
    <w:name w:val="WW8Num3z0"/>
    <w:qFormat/>
    <w:rPr/>
  </w:style>
  <w:style w:type="character" w:styleId="WW8Num5z0">
    <w:name w:val="WW8Num5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tabs>
        <w:tab w:val="clear" w:pos="540"/>
      </w:tabs>
    </w:pPr>
    <w:rPr>
      <w:b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NormalIndent">
    <w:name w:val="Normal Indent"/>
    <w:basedOn w:val="Normal"/>
    <w:qFormat/>
    <w:pPr>
      <w:ind w:hanging="0" w:start="720" w:end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54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540"/>
        <w:tab w:val="center" w:pos="4320" w:leader="none"/>
        <w:tab w:val="right" w:pos="8640" w:leader="none"/>
      </w:tabs>
    </w:pPr>
    <w:rPr/>
  </w:style>
  <w:style w:type="paragraph" w:styleId="Header">
    <w:name w:val="header"/>
    <w:basedOn w:val="Normal"/>
    <w:pPr>
      <w:tabs>
        <w:tab w:val="clear" w:pos="540"/>
        <w:tab w:val="center" w:pos="4320" w:leader="none"/>
        <w:tab w:val="right" w:pos="8640" w:leader="none"/>
      </w:tabs>
    </w:pPr>
    <w:rPr/>
  </w:style>
  <w:style w:type="paragraph" w:styleId="Subject">
    <w:name w:val="Subject"/>
    <w:basedOn w:val="Normal"/>
    <w:qFormat/>
    <w:pPr>
      <w:tabs>
        <w:tab w:val="clear" w:pos="540"/>
      </w:tabs>
    </w:pPr>
    <w:rPr>
      <w:sz w:val="20"/>
    </w:rPr>
  </w:style>
  <w:style w:type="paragraph" w:styleId="Date">
    <w:name w:val="Date"/>
    <w:basedOn w:val="Normal"/>
    <w:qFormat/>
    <w:pPr>
      <w:tabs>
        <w:tab w:val="clear" w:pos="540"/>
      </w:tabs>
    </w:pPr>
    <w:rPr>
      <w:sz w:val="20"/>
    </w:rPr>
  </w:style>
  <w:style w:type="paragraph" w:styleId="To">
    <w:name w:val="To"/>
    <w:basedOn w:val="Normal"/>
    <w:qFormat/>
    <w:pPr>
      <w:tabs>
        <w:tab w:val="clear" w:pos="540"/>
      </w:tabs>
    </w:pPr>
    <w:rPr>
      <w:sz w:val="20"/>
    </w:rPr>
  </w:style>
  <w:style w:type="paragraph" w:styleId="From">
    <w:name w:val="From"/>
    <w:basedOn w:val="Normal"/>
    <w:qFormat/>
    <w:pPr>
      <w:tabs>
        <w:tab w:val="clear" w:pos="540"/>
      </w:tabs>
    </w:pPr>
    <w:rPr>
      <w:sz w:val="20"/>
    </w:rPr>
  </w:style>
  <w:style w:type="paragraph" w:styleId="CopyList">
    <w:name w:val="CopyList"/>
    <w:basedOn w:val="Normal"/>
    <w:qFormat/>
    <w:pPr>
      <w:tabs>
        <w:tab w:val="clear" w:pos="540"/>
        <w:tab w:val="left" w:pos="504" w:leader="none"/>
      </w:tabs>
      <w:spacing w:before="360" w:after="0"/>
      <w:ind w:hanging="504" w:start="576" w:end="0"/>
    </w:pPr>
    <w:rPr>
      <w:rFonts w:ascii="Arial" w:hAnsi="Arial" w:cs="Arial"/>
      <w:sz w:val="20"/>
    </w:rPr>
  </w:style>
  <w:style w:type="paragraph" w:styleId="Body">
    <w:name w:val="Body"/>
    <w:basedOn w:val="Normal"/>
    <w:qFormat/>
    <w:pPr>
      <w:tabs>
        <w:tab w:val="clear" w:pos="540"/>
      </w:tabs>
      <w:ind w:hanging="0" w:start="72" w:end="0"/>
    </w:pPr>
    <w:rPr>
      <w:rFonts w:ascii="Arial" w:hAnsi="Arial" w:cs="Arial"/>
      <w:color w:val="000080"/>
      <w:sz w:val="20"/>
    </w:rPr>
  </w:style>
  <w:style w:type="paragraph" w:styleId="Department">
    <w:name w:val="Department"/>
    <w:basedOn w:val="Normal"/>
    <w:qFormat/>
    <w:pPr>
      <w:tabs>
        <w:tab w:val="clear" w:pos="540"/>
      </w:tabs>
    </w:pPr>
    <w:rPr>
      <w:sz w:val="2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ENMEMO</Template>
  <TotalTime>30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2001-11-20T11:54:00Z</dcterms:created>
  <dc:creator>Enron Office User</dc:creator>
  <dc:description/>
  <dc:language>en-CA</dc:language>
  <cp:lastModifiedBy>asen</cp:lastModifiedBy>
  <cp:lastPrinted>2001-11-20T14:54:00Z</cp:lastPrinted>
  <dcterms:modified xsi:type="dcterms:W3CDTF">2001-11-20T12:24:00Z</dcterms:modified>
  <cp:revision>3</cp:revision>
  <dc:subject>Tractebel Meeting</dc:subject>
  <dc:title> </dc:title>
</cp:coreProperties>
</file>