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ASSET MANAGEMENT AGREEMENT</w:t>
      </w:r>
    </w:p>
    <w:p>
      <w:pPr>
        <w:pStyle w:val="Title2"/>
        <w:rPr/>
      </w:pPr>
      <w:r>
        <w:rPr/>
        <w:t>between</w:t>
      </w:r>
    </w:p>
    <w:p>
      <w:pPr>
        <w:pStyle w:val="Title2"/>
        <w:rPr/>
      </w:pPr>
      <w:r>
        <w:rPr/>
        <w:t>North Carolina Power Holdings, LLC,</w:t>
      </w:r>
    </w:p>
    <w:p>
      <w:pPr>
        <w:pStyle w:val="Title2"/>
        <w:rPr/>
      </w:pPr>
      <w:r>
        <w:rPr/>
        <w:t>Elizabethtown Power, LLC and</w:t>
      </w:r>
    </w:p>
    <w:p>
      <w:pPr>
        <w:pStyle w:val="Title2"/>
        <w:rPr/>
      </w:pPr>
      <w:r>
        <w:rPr/>
        <w:t>Lumberton Power, LLC,</w:t>
      </w:r>
    </w:p>
    <w:p>
      <w:pPr>
        <w:pStyle w:val="Title2"/>
        <w:rPr/>
      </w:pPr>
      <w:r>
        <w:rPr/>
        <w:t>as Owner,</w:t>
      </w:r>
    </w:p>
    <w:p>
      <w:pPr>
        <w:pStyle w:val="Title2"/>
        <w:rPr/>
      </w:pPr>
      <w:r>
        <w:rPr/>
        <w:t>and</w:t>
      </w:r>
    </w:p>
    <w:p>
      <w:pPr>
        <w:pStyle w:val="Title2"/>
        <w:rPr/>
      </w:pPr>
      <w:r>
        <w:rPr/>
        <w:t>Enron Power Marketing, Inc.</w:t>
      </w:r>
    </w:p>
    <w:p>
      <w:pPr>
        <w:pStyle w:val="Title2"/>
        <w:rPr/>
      </w:pPr>
      <w:r>
        <w:rPr/>
        <w:t>as Contractor</w:t>
      </w:r>
    </w:p>
    <w:p>
      <w:pPr>
        <w:pStyle w:val="Title2"/>
        <w:rPr/>
      </w:pPr>
      <w:r>
        <w:rPr/>
      </w:r>
    </w:p>
    <w:p>
      <w:pPr>
        <w:sectPr>
          <w:headerReference w:type="default" r:id="rId2"/>
          <w:footerReference w:type="default" r:id="rId3"/>
          <w:type w:val="nextPage"/>
          <w:pgSz w:w="12240" w:h="15840"/>
          <w:pgMar w:left="1440" w:right="1440" w:gutter="0" w:header="720" w:top="1440" w:footer="720" w:bottom="1440"/>
          <w:pgNumType w:start="1" w:fmt="decimal"/>
          <w:formProt w:val="false"/>
          <w:vAlign w:val="center"/>
          <w:textDirection w:val="lrTb"/>
          <w:docGrid w:type="default" w:linePitch="360" w:charSpace="0"/>
        </w:sectPr>
        <w:pStyle w:val="Title2"/>
        <w:rPr/>
      </w:pPr>
      <w:r>
        <w:rPr/>
        <w:t>Dated: May ___, 2001</w:t>
      </w:r>
    </w:p>
    <w:p>
      <w:pPr>
        <w:pStyle w:val="Heading"/>
        <w:rPr/>
      </w:pPr>
      <w:r>
        <w:rPr/>
        <w:t>TABLE OF CONTENTS</w:t>
      </w:r>
    </w:p>
    <w:p>
      <w:pPr>
        <w:pStyle w:val="Normal"/>
        <w:numPr>
          <w:ilvl w:val="0"/>
          <w:numId w:val="0"/>
        </w:numPr>
        <w:spacing w:before="0" w:after="240"/>
        <w:jc w:val="end"/>
        <w:outlineLvl w:val="7"/>
        <w:rPr/>
      </w:pPr>
      <w:r>
        <w:rPr/>
        <w:t>Page</w:t>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\t "Legal2_L1,1,Legal2_L2,2" </w:instrText>
          </w:r>
          <w:r>
            <w:rPr>
              <w:lang w:val="en-CA"/>
            </w:rPr>
            <w:fldChar w:fldCharType="separate"/>
          </w:r>
          <w:r>
            <w:rPr>
              <w:lang w:val="en-CA"/>
            </w:rPr>
            <w:t>ARTICLE I. Definitions And Interpretation</w:t>
            <w:tab/>
          </w:r>
          <w:hyperlink w:anchor="__RefHeading___Toc513389480">
            <w:r>
              <w:rPr>
                <w:rStyle w:val="IndexLink"/>
                <w:lang w:val="en-CA"/>
              </w:rPr>
              <w:t>1</w:t>
            </w:r>
          </w:hyperlink>
        </w:p>
        <w:p>
          <w:pPr>
            <w:pStyle w:val="TOC2"/>
            <w:rPr/>
          </w:pPr>
          <w:r>
            <w:rPr/>
            <w:t>Section 1.1</w:t>
            <w:tab/>
            <w:tab/>
            <w:t>Definitions.</w:t>
            <w:tab/>
          </w:r>
          <w:hyperlink w:anchor="__RefHeading___Toc513389481">
            <w:r>
              <w:rPr>
                <w:rStyle w:val="IndexLink"/>
              </w:rPr>
              <w:t>1</w:t>
            </w:r>
          </w:hyperlink>
        </w:p>
        <w:p>
          <w:pPr>
            <w:pStyle w:val="TOC2"/>
            <w:rPr/>
          </w:pPr>
          <w:r>
            <w:rPr/>
            <w:t>Section 1.2</w:t>
            <w:tab/>
            <w:tab/>
            <w:t>Interpretation.</w:t>
            <w:tab/>
          </w:r>
          <w:hyperlink w:anchor="__RefHeading___Toc513389482">
            <w:r>
              <w:rPr>
                <w:rStyle w:val="IndexLink"/>
              </w:rPr>
              <w:t>7</w:t>
            </w:r>
          </w:hyperlink>
        </w:p>
        <w:p>
          <w:pPr>
            <w:pStyle w:val="TOC1"/>
            <w:tabs>
              <w:tab w:val="clear" w:pos="720"/>
              <w:tab w:val="right" w:pos="9350" w:leader="dot"/>
            </w:tabs>
            <w:rPr>
              <w:lang w:val="en-CA"/>
            </w:rPr>
          </w:pPr>
          <w:r>
            <w:rPr>
              <w:lang w:val="en-CA"/>
            </w:rPr>
            <w:t>ARTICLE II. Obligations of the Parties</w:t>
            <w:tab/>
          </w:r>
          <w:hyperlink w:anchor="__RefHeading___Toc513389483">
            <w:r>
              <w:rPr>
                <w:rStyle w:val="IndexLink"/>
                <w:lang w:val="en-CA"/>
              </w:rPr>
              <w:t>8</w:t>
            </w:r>
          </w:hyperlink>
        </w:p>
        <w:p>
          <w:pPr>
            <w:pStyle w:val="TOC2"/>
            <w:rPr/>
          </w:pPr>
          <w:r>
            <w:rPr/>
            <w:t>Section 2.1</w:t>
            <w:tab/>
            <w:tab/>
            <w:t>Engagement of Contractor</w:t>
            <w:tab/>
          </w:r>
          <w:hyperlink w:anchor="__RefHeading___Toc513389484">
            <w:r>
              <w:rPr>
                <w:rStyle w:val="IndexLink"/>
              </w:rPr>
              <w:t>8</w:t>
            </w:r>
          </w:hyperlink>
        </w:p>
        <w:p>
          <w:pPr>
            <w:pStyle w:val="TOC2"/>
            <w:rPr/>
          </w:pPr>
          <w:r>
            <w:rPr/>
            <w:t>Section 2.2</w:t>
            <w:tab/>
            <w:tab/>
            <w:t>Services.</w:t>
            <w:tab/>
          </w:r>
          <w:hyperlink w:anchor="__RefHeading___Toc513389485">
            <w:r>
              <w:rPr>
                <w:rStyle w:val="IndexLink"/>
              </w:rPr>
              <w:t>8</w:t>
            </w:r>
          </w:hyperlink>
        </w:p>
        <w:p>
          <w:pPr>
            <w:pStyle w:val="TOC2"/>
            <w:rPr/>
          </w:pPr>
          <w:r>
            <w:rPr/>
            <w:t>Section 2.3</w:t>
            <w:tab/>
            <w:tab/>
            <w:t>Obligations of Owner.</w:t>
            <w:tab/>
          </w:r>
          <w:hyperlink w:anchor="__RefHeading___Toc513389486">
            <w:r>
              <w:rPr>
                <w:rStyle w:val="IndexLink"/>
              </w:rPr>
              <w:t>9</w:t>
            </w:r>
          </w:hyperlink>
        </w:p>
        <w:p>
          <w:pPr>
            <w:pStyle w:val="TOC2"/>
            <w:rPr/>
          </w:pPr>
          <w:r>
            <w:rPr/>
            <w:t>Section 2.4</w:t>
            <w:tab/>
            <w:tab/>
            <w:t>Limitation of Contractor.</w:t>
            <w:tab/>
          </w:r>
          <w:hyperlink w:anchor="__RefHeading___Toc513389487">
            <w:r>
              <w:rPr>
                <w:rStyle w:val="IndexLink"/>
              </w:rPr>
              <w:t>9</w:t>
            </w:r>
          </w:hyperlink>
        </w:p>
        <w:p>
          <w:pPr>
            <w:pStyle w:val="TOC2"/>
            <w:rPr/>
          </w:pPr>
          <w:r>
            <w:rPr/>
            <w:t>Section 2.5</w:t>
            <w:tab/>
            <w:tab/>
            <w:t>Right to Subcontract Services.</w:t>
            <w:tab/>
          </w:r>
          <w:hyperlink w:anchor="__RefHeading___Toc513389488">
            <w:r>
              <w:rPr>
                <w:rStyle w:val="IndexLink"/>
              </w:rPr>
              <w:t>10</w:t>
            </w:r>
          </w:hyperlink>
        </w:p>
        <w:p>
          <w:pPr>
            <w:pStyle w:val="TOC1"/>
            <w:tabs>
              <w:tab w:val="clear" w:pos="720"/>
              <w:tab w:val="right" w:pos="9350" w:leader="dot"/>
            </w:tabs>
            <w:rPr>
              <w:lang w:val="en-CA"/>
            </w:rPr>
          </w:pPr>
          <w:r>
            <w:rPr>
              <w:lang w:val="en-CA"/>
            </w:rPr>
            <w:t>ARTICLE III. Marketing of Products.</w:t>
            <w:tab/>
          </w:r>
          <w:hyperlink w:anchor="__RefHeading___Toc513389489">
            <w:r>
              <w:rPr>
                <w:rStyle w:val="IndexLink"/>
                <w:lang w:val="en-CA"/>
              </w:rPr>
              <w:t>10</w:t>
            </w:r>
          </w:hyperlink>
        </w:p>
        <w:p>
          <w:pPr>
            <w:pStyle w:val="TOC2"/>
            <w:rPr/>
          </w:pPr>
          <w:r>
            <w:rPr/>
            <w:t>Section 3.1</w:t>
            <w:tab/>
            <w:tab/>
            <w:t>Availability of Products.</w:t>
            <w:tab/>
          </w:r>
          <w:hyperlink w:anchor="__RefHeading___Toc513389490">
            <w:r>
              <w:rPr>
                <w:rStyle w:val="IndexLink"/>
              </w:rPr>
              <w:t>10</w:t>
            </w:r>
          </w:hyperlink>
        </w:p>
        <w:p>
          <w:pPr>
            <w:pStyle w:val="TOC2"/>
            <w:rPr/>
          </w:pPr>
          <w:r>
            <w:rPr/>
            <w:t>Section 3.2</w:t>
            <w:tab/>
            <w:tab/>
            <w:t>Contract Formation.</w:t>
            <w:tab/>
          </w:r>
          <w:hyperlink w:anchor="__RefHeading___Toc513389491">
            <w:r>
              <w:rPr>
                <w:rStyle w:val="IndexLink"/>
              </w:rPr>
              <w:t>11</w:t>
            </w:r>
          </w:hyperlink>
        </w:p>
        <w:p>
          <w:pPr>
            <w:pStyle w:val="TOC2"/>
            <w:rPr/>
          </w:pPr>
          <w:r>
            <w:rPr/>
            <w:t>Section 3.3</w:t>
            <w:tab/>
            <w:tab/>
            <w:t>Required Approval.</w:t>
            <w:tab/>
          </w:r>
          <w:hyperlink w:anchor="__RefHeading___Toc513389492">
            <w:r>
              <w:rPr>
                <w:rStyle w:val="IndexLink"/>
              </w:rPr>
              <w:t>11</w:t>
            </w:r>
          </w:hyperlink>
        </w:p>
        <w:p>
          <w:pPr>
            <w:pStyle w:val="TOC2"/>
            <w:rPr/>
          </w:pPr>
          <w:r>
            <w:rPr/>
            <w:t>Section 3.4</w:t>
            <w:tab/>
            <w:tab/>
            <w:t>Scheduling.</w:t>
            <w:tab/>
          </w:r>
          <w:hyperlink w:anchor="__RefHeading___Toc513389493">
            <w:r>
              <w:rPr>
                <w:rStyle w:val="IndexLink"/>
              </w:rPr>
              <w:t>11</w:t>
            </w:r>
          </w:hyperlink>
        </w:p>
        <w:p>
          <w:pPr>
            <w:pStyle w:val="TOC2"/>
            <w:rPr/>
          </w:pPr>
          <w:r>
            <w:rPr/>
            <w:t>Section 3.5</w:t>
            <w:tab/>
            <w:tab/>
            <w:t>Transmission.</w:t>
            <w:tab/>
          </w:r>
          <w:hyperlink w:anchor="__RefHeading___Toc513389494">
            <w:r>
              <w:rPr>
                <w:rStyle w:val="IndexLink"/>
              </w:rPr>
              <w:t>12</w:t>
            </w:r>
          </w:hyperlink>
        </w:p>
        <w:p>
          <w:pPr>
            <w:pStyle w:val="TOC2"/>
            <w:rPr/>
          </w:pPr>
          <w:r>
            <w:rPr/>
            <w:t>Section 3.6</w:t>
            <w:tab/>
            <w:tab/>
            <w:t>Coordination.</w:t>
            <w:tab/>
          </w:r>
          <w:hyperlink w:anchor="__RefHeading___Toc513389495">
            <w:r>
              <w:rPr>
                <w:rStyle w:val="IndexLink"/>
              </w:rPr>
              <w:t>12</w:t>
            </w:r>
          </w:hyperlink>
        </w:p>
        <w:p>
          <w:pPr>
            <w:pStyle w:val="TOC2"/>
            <w:rPr/>
          </w:pPr>
          <w:r>
            <w:rPr/>
            <w:t>Section 3.7</w:t>
            <w:tab/>
            <w:tab/>
            <w:t>Coordination Procedures.</w:t>
            <w:tab/>
          </w:r>
          <w:hyperlink w:anchor="__RefHeading___Toc513389496">
            <w:r>
              <w:rPr>
                <w:rStyle w:val="IndexLink"/>
              </w:rPr>
              <w:t>12</w:t>
            </w:r>
          </w:hyperlink>
        </w:p>
        <w:p>
          <w:pPr>
            <w:pStyle w:val="TOC2"/>
            <w:rPr/>
          </w:pPr>
          <w:r>
            <w:rPr/>
            <w:t>Section 3.8</w:t>
            <w:tab/>
            <w:tab/>
            <w:t>Title and Risk of Loss.</w:t>
            <w:tab/>
          </w:r>
          <w:hyperlink w:anchor="__RefHeading___Toc513389497">
            <w:r>
              <w:rPr>
                <w:rStyle w:val="IndexLink"/>
              </w:rPr>
              <w:t>12</w:t>
            </w:r>
          </w:hyperlink>
        </w:p>
        <w:p>
          <w:pPr>
            <w:pStyle w:val="TOC2"/>
            <w:rPr/>
          </w:pPr>
          <w:r>
            <w:rPr/>
            <w:t>Section 3.9</w:t>
            <w:tab/>
            <w:tab/>
            <w:t>Commodity Trading Advisor.</w:t>
            <w:tab/>
          </w:r>
          <w:hyperlink w:anchor="__RefHeading___Toc513389498">
            <w:r>
              <w:rPr>
                <w:rStyle w:val="IndexLink"/>
              </w:rPr>
              <w:t>13</w:t>
            </w:r>
          </w:hyperlink>
        </w:p>
        <w:p>
          <w:pPr>
            <w:pStyle w:val="TOC2"/>
            <w:rPr/>
          </w:pPr>
          <w:r>
            <w:rPr/>
            <w:t>Section 3.10</w:t>
            <w:tab/>
            <w:t>Legal Advice.</w:t>
            <w:tab/>
          </w:r>
          <w:hyperlink w:anchor="__RefHeading___Toc513389499">
            <w:r>
              <w:rPr>
                <w:rStyle w:val="IndexLink"/>
              </w:rPr>
              <w:t>13</w:t>
            </w:r>
          </w:hyperlink>
        </w:p>
        <w:p>
          <w:pPr>
            <w:pStyle w:val="TOC1"/>
            <w:tabs>
              <w:tab w:val="clear" w:pos="720"/>
              <w:tab w:val="right" w:pos="9350" w:leader="dot"/>
            </w:tabs>
            <w:rPr>
              <w:lang w:val="en-CA"/>
            </w:rPr>
          </w:pPr>
          <w:r>
            <w:rPr>
              <w:lang w:val="en-CA"/>
            </w:rPr>
            <w:t>ARTICLE IV. Payments</w:t>
            <w:tab/>
          </w:r>
          <w:hyperlink w:anchor="__RefHeading___Toc513389500">
            <w:r>
              <w:rPr>
                <w:rStyle w:val="IndexLink"/>
                <w:lang w:val="en-CA"/>
              </w:rPr>
              <w:t>13</w:t>
            </w:r>
          </w:hyperlink>
        </w:p>
        <w:p>
          <w:pPr>
            <w:pStyle w:val="TOC2"/>
            <w:rPr/>
          </w:pPr>
          <w:r>
            <w:rPr/>
            <w:t>Section 4.1</w:t>
            <w:tab/>
            <w:tab/>
            <w:t>Fees and Expenses</w:t>
            <w:tab/>
          </w:r>
          <w:hyperlink w:anchor="__RefHeading___Toc513389501">
            <w:r>
              <w:rPr>
                <w:rStyle w:val="IndexLink"/>
              </w:rPr>
              <w:t>13</w:t>
            </w:r>
          </w:hyperlink>
        </w:p>
        <w:p>
          <w:pPr>
            <w:pStyle w:val="TOC2"/>
            <w:rPr/>
          </w:pPr>
          <w:r>
            <w:rPr/>
            <w:t>Section 4.2</w:t>
            <w:tab/>
            <w:tab/>
            <w:t>Payment of Marketing Expenses.</w:t>
            <w:tab/>
          </w:r>
          <w:hyperlink w:anchor="__RefHeading___Toc513389502">
            <w:r>
              <w:rPr>
                <w:rStyle w:val="IndexLink"/>
              </w:rPr>
              <w:t>13</w:t>
            </w:r>
          </w:hyperlink>
        </w:p>
        <w:p>
          <w:pPr>
            <w:pStyle w:val="TOC2"/>
            <w:rPr/>
          </w:pPr>
          <w:r>
            <w:rPr/>
            <w:t>Section 4.3</w:t>
            <w:tab/>
            <w:tab/>
            <w:t>Invoicing and Payment of Fees.</w:t>
            <w:tab/>
          </w:r>
          <w:hyperlink w:anchor="__RefHeading___Toc513389503">
            <w:r>
              <w:rPr>
                <w:rStyle w:val="IndexLink"/>
              </w:rPr>
              <w:t>13</w:t>
            </w:r>
          </w:hyperlink>
        </w:p>
        <w:p>
          <w:pPr>
            <w:pStyle w:val="TOC2"/>
            <w:rPr/>
          </w:pPr>
          <w:r>
            <w:rPr/>
            <w:t>Section 4.4</w:t>
            <w:tab/>
            <w:tab/>
            <w:t>Audit Rights; Disputes.</w:t>
            <w:tab/>
          </w:r>
          <w:hyperlink w:anchor="__RefHeading___Toc513389504">
            <w:r>
              <w:rPr>
                <w:rStyle w:val="IndexLink"/>
              </w:rPr>
              <w:t>14</w:t>
            </w:r>
          </w:hyperlink>
        </w:p>
        <w:p>
          <w:pPr>
            <w:pStyle w:val="TOC1"/>
            <w:tabs>
              <w:tab w:val="clear" w:pos="720"/>
              <w:tab w:val="right" w:pos="9350" w:leader="dot"/>
            </w:tabs>
            <w:rPr>
              <w:lang w:val="en-CA"/>
            </w:rPr>
          </w:pPr>
          <w:r>
            <w:rPr>
              <w:lang w:val="en-CA"/>
            </w:rPr>
            <w:t>ARTICLE V. Term</w:t>
            <w:tab/>
          </w:r>
          <w:hyperlink w:anchor="__RefHeading___Toc513389505">
            <w:r>
              <w:rPr>
                <w:rStyle w:val="IndexLink"/>
                <w:lang w:val="en-CA"/>
              </w:rPr>
              <w:t>14</w:t>
            </w:r>
          </w:hyperlink>
        </w:p>
        <w:p>
          <w:pPr>
            <w:pStyle w:val="TOC2"/>
            <w:rPr/>
          </w:pPr>
          <w:r>
            <w:rPr/>
            <w:t>Section 5.1</w:t>
            <w:tab/>
            <w:tab/>
            <w:t>Term.</w:t>
            <w:tab/>
          </w:r>
          <w:hyperlink w:anchor="__RefHeading___Toc513389506">
            <w:r>
              <w:rPr>
                <w:rStyle w:val="IndexLink"/>
              </w:rPr>
              <w:t>14</w:t>
            </w:r>
          </w:hyperlink>
        </w:p>
        <w:p>
          <w:pPr>
            <w:pStyle w:val="TOC1"/>
            <w:tabs>
              <w:tab w:val="clear" w:pos="720"/>
              <w:tab w:val="right" w:pos="9350" w:leader="dot"/>
            </w:tabs>
            <w:rPr>
              <w:lang w:val="en-CA"/>
            </w:rPr>
          </w:pPr>
          <w:r>
            <w:rPr>
              <w:lang w:val="en-CA"/>
            </w:rPr>
            <w:t>ARTICLE VI. Events Of Defaults; Remedies</w:t>
            <w:tab/>
          </w:r>
          <w:hyperlink w:anchor="__RefHeading___Toc513389507">
            <w:r>
              <w:rPr>
                <w:rStyle w:val="IndexLink"/>
                <w:lang w:val="en-CA"/>
              </w:rPr>
              <w:t>14</w:t>
            </w:r>
          </w:hyperlink>
        </w:p>
        <w:p>
          <w:pPr>
            <w:pStyle w:val="TOC2"/>
            <w:rPr/>
          </w:pPr>
          <w:r>
            <w:rPr/>
            <w:t>Section 6.1</w:t>
            <w:tab/>
            <w:tab/>
            <w:t>Events of Default.</w:t>
            <w:tab/>
          </w:r>
          <w:hyperlink w:anchor="__RefHeading___Toc513389508">
            <w:r>
              <w:rPr>
                <w:rStyle w:val="IndexLink"/>
              </w:rPr>
              <w:t>14</w:t>
            </w:r>
          </w:hyperlink>
        </w:p>
        <w:p>
          <w:pPr>
            <w:pStyle w:val="TOC2"/>
            <w:rPr/>
          </w:pPr>
          <w:r>
            <w:rPr/>
            <w:t>Section 6.2</w:t>
            <w:tab/>
            <w:tab/>
            <w:t>Remedies.</w:t>
            <w:tab/>
          </w:r>
          <w:hyperlink w:anchor="__RefHeading___Toc513389509">
            <w:r>
              <w:rPr>
                <w:rStyle w:val="IndexLink"/>
              </w:rPr>
              <w:t>15</w:t>
            </w:r>
          </w:hyperlink>
        </w:p>
        <w:p>
          <w:pPr>
            <w:pStyle w:val="TOC2"/>
            <w:rPr/>
          </w:pPr>
          <w:r>
            <w:rPr/>
            <w:t>Section 6.3</w:t>
            <w:tab/>
            <w:tab/>
            <w:t>Survival.</w:t>
            <w:tab/>
          </w:r>
          <w:hyperlink w:anchor="__RefHeading___Toc513389510">
            <w:r>
              <w:rPr>
                <w:rStyle w:val="IndexLink"/>
              </w:rPr>
              <w:t>15</w:t>
            </w:r>
          </w:hyperlink>
        </w:p>
        <w:p>
          <w:pPr>
            <w:pStyle w:val="TOC1"/>
            <w:tabs>
              <w:tab w:val="clear" w:pos="720"/>
              <w:tab w:val="right" w:pos="9350" w:leader="dot"/>
            </w:tabs>
            <w:rPr>
              <w:lang w:val="en-CA"/>
            </w:rPr>
          </w:pPr>
          <w:r>
            <w:rPr>
              <w:lang w:val="en-CA"/>
            </w:rPr>
            <w:t>ARTICLE VII. Indemnification</w:t>
            <w:tab/>
          </w:r>
          <w:hyperlink w:anchor="__RefHeading___Toc513389511">
            <w:r>
              <w:rPr>
                <w:rStyle w:val="IndexLink"/>
                <w:lang w:val="en-CA"/>
              </w:rPr>
              <w:t>16</w:t>
            </w:r>
          </w:hyperlink>
        </w:p>
        <w:p>
          <w:pPr>
            <w:pStyle w:val="TOC2"/>
            <w:rPr/>
          </w:pPr>
          <w:r>
            <w:rPr/>
            <w:t>Section 7.1</w:t>
            <w:tab/>
            <w:tab/>
            <w:t>Indemnification by Contractor.</w:t>
            <w:tab/>
          </w:r>
          <w:hyperlink w:anchor="__RefHeading___Toc513389512">
            <w:r>
              <w:rPr>
                <w:rStyle w:val="IndexLink"/>
              </w:rPr>
              <w:t>16</w:t>
            </w:r>
          </w:hyperlink>
        </w:p>
        <w:p>
          <w:pPr>
            <w:pStyle w:val="TOC2"/>
            <w:rPr/>
          </w:pPr>
          <w:r>
            <w:rPr/>
            <w:t>Section 7.2</w:t>
            <w:tab/>
            <w:tab/>
            <w:t>Indemnification by Owner.</w:t>
            <w:tab/>
          </w:r>
          <w:hyperlink w:anchor="__RefHeading___Toc513389513">
            <w:r>
              <w:rPr>
                <w:rStyle w:val="IndexLink"/>
              </w:rPr>
              <w:t>16</w:t>
            </w:r>
          </w:hyperlink>
        </w:p>
        <w:p>
          <w:pPr>
            <w:pStyle w:val="TOC2"/>
            <w:rPr/>
          </w:pPr>
          <w:r>
            <w:rPr/>
            <w:t>Section 7.3</w:t>
            <w:tab/>
            <w:tab/>
            <w:t>Conduct of Claims.</w:t>
            <w:tab/>
          </w:r>
          <w:hyperlink w:anchor="__RefHeading___Toc513389514">
            <w:r>
              <w:rPr>
                <w:rStyle w:val="IndexLink"/>
              </w:rPr>
              <w:t>16</w:t>
            </w:r>
          </w:hyperlink>
        </w:p>
        <w:p>
          <w:pPr>
            <w:pStyle w:val="TOC2"/>
            <w:rPr/>
          </w:pPr>
          <w:r>
            <w:rPr/>
            <w:t>Section 7.4</w:t>
            <w:tab/>
            <w:tab/>
            <w:t>Non-Assumption of Liabilities.</w:t>
            <w:tab/>
          </w:r>
          <w:hyperlink w:anchor="__RefHeading___Toc513389515">
            <w:r>
              <w:rPr>
                <w:rStyle w:val="IndexLink"/>
              </w:rPr>
              <w:t>17</w:t>
            </w:r>
          </w:hyperlink>
        </w:p>
        <w:p>
          <w:pPr>
            <w:pStyle w:val="TOC1"/>
            <w:tabs>
              <w:tab w:val="clear" w:pos="720"/>
              <w:tab w:val="right" w:pos="9350" w:leader="dot"/>
            </w:tabs>
            <w:rPr>
              <w:lang w:val="en-CA"/>
            </w:rPr>
          </w:pPr>
          <w:r>
            <w:rPr>
              <w:lang w:val="en-CA"/>
            </w:rPr>
            <w:t>ARTICLE VIII. Force Majeure; Limitation of Liability</w:t>
            <w:tab/>
          </w:r>
          <w:hyperlink w:anchor="__RefHeading___Toc513389516">
            <w:r>
              <w:rPr>
                <w:rStyle w:val="IndexLink"/>
                <w:lang w:val="en-CA"/>
              </w:rPr>
              <w:t>17</w:t>
            </w:r>
          </w:hyperlink>
        </w:p>
        <w:p>
          <w:pPr>
            <w:pStyle w:val="TOC2"/>
            <w:rPr/>
          </w:pPr>
          <w:r>
            <w:rPr/>
            <w:t>Section 8.1</w:t>
            <w:tab/>
            <w:tab/>
            <w:t>Force Majeure.</w:t>
            <w:tab/>
          </w:r>
          <w:hyperlink w:anchor="__RefHeading___Toc513389517">
            <w:r>
              <w:rPr>
                <w:rStyle w:val="IndexLink"/>
              </w:rPr>
              <w:t>17</w:t>
            </w:r>
          </w:hyperlink>
        </w:p>
        <w:p>
          <w:pPr>
            <w:pStyle w:val="TOC2"/>
            <w:rPr/>
          </w:pPr>
          <w:r>
            <w:rPr/>
            <w:t>Section 8.2</w:t>
            <w:tab/>
            <w:tab/>
            <w:t>Limitation of Liability.</w:t>
            <w:tab/>
          </w:r>
          <w:hyperlink w:anchor="__RefHeading___Toc513389518">
            <w:r>
              <w:rPr>
                <w:rStyle w:val="IndexLink"/>
              </w:rPr>
              <w:t>17</w:t>
            </w:r>
          </w:hyperlink>
        </w:p>
        <w:p>
          <w:pPr>
            <w:pStyle w:val="TOC2"/>
            <w:rPr/>
          </w:pPr>
          <w:r>
            <w:rPr/>
            <w:t>Section 8.3</w:t>
            <w:tab/>
            <w:tab/>
            <w:t>Waiver of Consequential Damages.</w:t>
            <w:tab/>
          </w:r>
          <w:hyperlink w:anchor="__RefHeading___Toc513389519">
            <w:r>
              <w:rPr>
                <w:rStyle w:val="IndexLink"/>
              </w:rPr>
              <w:t>17</w:t>
            </w:r>
          </w:hyperlink>
        </w:p>
        <w:p>
          <w:pPr>
            <w:pStyle w:val="TOC1"/>
            <w:tabs>
              <w:tab w:val="clear" w:pos="720"/>
              <w:tab w:val="right" w:pos="9350" w:leader="dot"/>
            </w:tabs>
            <w:rPr>
              <w:lang w:val="en-CA"/>
            </w:rPr>
          </w:pPr>
          <w:r>
            <w:rPr>
              <w:lang w:val="en-CA"/>
            </w:rPr>
            <w:t>ARTICLE IX. Confidentiality Of Information</w:t>
            <w:tab/>
          </w:r>
          <w:hyperlink w:anchor="__RefHeading___Toc513389520">
            <w:r>
              <w:rPr>
                <w:rStyle w:val="IndexLink"/>
                <w:lang w:val="en-CA"/>
              </w:rPr>
              <w:t>18</w:t>
            </w:r>
          </w:hyperlink>
        </w:p>
        <w:p>
          <w:pPr>
            <w:pStyle w:val="TOC2"/>
            <w:rPr/>
          </w:pPr>
          <w:r>
            <w:rPr/>
            <w:t>Section 9.1</w:t>
            <w:tab/>
            <w:tab/>
            <w:t>Confidentiality.</w:t>
            <w:tab/>
          </w:r>
          <w:hyperlink w:anchor="__RefHeading___Toc513389521">
            <w:r>
              <w:rPr>
                <w:rStyle w:val="IndexLink"/>
              </w:rPr>
              <w:t>18</w:t>
            </w:r>
          </w:hyperlink>
        </w:p>
        <w:p>
          <w:pPr>
            <w:pStyle w:val="TOC1"/>
            <w:tabs>
              <w:tab w:val="clear" w:pos="720"/>
              <w:tab w:val="right" w:pos="9350" w:leader="dot"/>
            </w:tabs>
            <w:rPr>
              <w:lang w:val="en-CA"/>
            </w:rPr>
          </w:pPr>
          <w:r>
            <w:rPr>
              <w:lang w:val="en-CA"/>
            </w:rPr>
            <w:t>ARTICLE X. Disputes; Governing Law</w:t>
            <w:tab/>
          </w:r>
          <w:hyperlink w:anchor="__RefHeading___Toc513389522">
            <w:r>
              <w:rPr>
                <w:rStyle w:val="IndexLink"/>
                <w:lang w:val="en-CA"/>
              </w:rPr>
              <w:t>18</w:t>
            </w:r>
          </w:hyperlink>
        </w:p>
        <w:p>
          <w:pPr>
            <w:pStyle w:val="TOC2"/>
            <w:rPr/>
          </w:pPr>
          <w:r>
            <w:rPr/>
            <w:t>Section 10.1</w:t>
            <w:tab/>
            <w:t>Dispute Resolution.</w:t>
            <w:tab/>
          </w:r>
          <w:hyperlink w:anchor="__RefHeading___Toc513389523">
            <w:r>
              <w:rPr>
                <w:rStyle w:val="IndexLink"/>
              </w:rPr>
              <w:t>18</w:t>
            </w:r>
          </w:hyperlink>
        </w:p>
        <w:p>
          <w:pPr>
            <w:pStyle w:val="TOC2"/>
            <w:rPr/>
          </w:pPr>
          <w:r>
            <w:rPr/>
            <w:t>Section 10.2</w:t>
            <w:tab/>
            <w:t>Performance to Continue During Dispute.</w:t>
            <w:tab/>
          </w:r>
          <w:hyperlink w:anchor="__RefHeading___Toc513389524">
            <w:r>
              <w:rPr>
                <w:rStyle w:val="IndexLink"/>
              </w:rPr>
              <w:t>19</w:t>
            </w:r>
          </w:hyperlink>
        </w:p>
        <w:p>
          <w:pPr>
            <w:pStyle w:val="TOC2"/>
            <w:rPr/>
          </w:pPr>
          <w:r>
            <w:rPr/>
            <w:t>Section 10.3</w:t>
            <w:tab/>
            <w:t>Governing Law.</w:t>
            <w:tab/>
          </w:r>
          <w:hyperlink w:anchor="__RefHeading___Toc513389525">
            <w:r>
              <w:rPr>
                <w:rStyle w:val="IndexLink"/>
              </w:rPr>
              <w:t>19</w:t>
            </w:r>
          </w:hyperlink>
        </w:p>
        <w:p>
          <w:pPr>
            <w:pStyle w:val="TOC1"/>
            <w:tabs>
              <w:tab w:val="clear" w:pos="720"/>
              <w:tab w:val="right" w:pos="9350" w:leader="dot"/>
            </w:tabs>
            <w:rPr>
              <w:lang w:val="en-CA"/>
            </w:rPr>
          </w:pPr>
          <w:r>
            <w:rPr>
              <w:lang w:val="en-CA"/>
            </w:rPr>
            <w:t>ARTICLE XI. Relationship of Parties.</w:t>
            <w:tab/>
          </w:r>
          <w:hyperlink w:anchor="__RefHeading___Toc513389526">
            <w:r>
              <w:rPr>
                <w:rStyle w:val="IndexLink"/>
                <w:lang w:val="en-CA"/>
              </w:rPr>
              <w:t>19</w:t>
            </w:r>
          </w:hyperlink>
        </w:p>
        <w:p>
          <w:pPr>
            <w:pStyle w:val="TOC2"/>
            <w:rPr/>
          </w:pPr>
          <w:r>
            <w:rPr/>
            <w:t>Section 11.1</w:t>
            <w:tab/>
            <w:t>Independent Contractor.</w:t>
            <w:tab/>
          </w:r>
          <w:hyperlink w:anchor="__RefHeading___Toc513389527">
            <w:r>
              <w:rPr>
                <w:rStyle w:val="IndexLink"/>
              </w:rPr>
              <w:t>19</w:t>
            </w:r>
          </w:hyperlink>
        </w:p>
        <w:p>
          <w:pPr>
            <w:pStyle w:val="TOC2"/>
            <w:rPr/>
          </w:pPr>
          <w:r>
            <w:rPr/>
            <w:t>Section 11.2</w:t>
            <w:tab/>
            <w:t>Non-Exclusive Nature.</w:t>
            <w:tab/>
          </w:r>
          <w:hyperlink w:anchor="__RefHeading___Toc513389528">
            <w:r>
              <w:rPr>
                <w:rStyle w:val="IndexLink"/>
              </w:rPr>
              <w:t>20</w:t>
            </w:r>
          </w:hyperlink>
        </w:p>
        <w:p>
          <w:pPr>
            <w:pStyle w:val="TOC2"/>
            <w:rPr/>
          </w:pPr>
          <w:r>
            <w:rPr/>
            <w:t>Section 11.3</w:t>
            <w:tab/>
            <w:t>Multiple Positions.</w:t>
            <w:tab/>
          </w:r>
          <w:hyperlink w:anchor="__RefHeading___Toc513389529">
            <w:r>
              <w:rPr>
                <w:rStyle w:val="IndexLink"/>
              </w:rPr>
              <w:t>20</w:t>
            </w:r>
          </w:hyperlink>
        </w:p>
        <w:p>
          <w:pPr>
            <w:pStyle w:val="TOC1"/>
            <w:tabs>
              <w:tab w:val="clear" w:pos="720"/>
              <w:tab w:val="right" w:pos="9350" w:leader="dot"/>
            </w:tabs>
            <w:rPr>
              <w:lang w:val="en-CA"/>
            </w:rPr>
          </w:pPr>
          <w:r>
            <w:rPr>
              <w:lang w:val="en-CA"/>
            </w:rPr>
            <w:t>ARTICLE XII. Miscellaneous</w:t>
            <w:tab/>
          </w:r>
          <w:hyperlink w:anchor="__RefHeading___Toc513389530">
            <w:r>
              <w:rPr>
                <w:rStyle w:val="IndexLink"/>
                <w:lang w:val="en-CA"/>
              </w:rPr>
              <w:t>20</w:t>
            </w:r>
          </w:hyperlink>
        </w:p>
        <w:p>
          <w:pPr>
            <w:pStyle w:val="TOC2"/>
            <w:rPr/>
          </w:pPr>
          <w:r>
            <w:rPr/>
            <w:t>Section 12.1</w:t>
            <w:tab/>
            <w:t>Assignment.</w:t>
            <w:tab/>
          </w:r>
          <w:hyperlink w:anchor="__RefHeading___Toc513389531">
            <w:r>
              <w:rPr>
                <w:rStyle w:val="IndexLink"/>
              </w:rPr>
              <w:t>20</w:t>
            </w:r>
          </w:hyperlink>
        </w:p>
        <w:p>
          <w:pPr>
            <w:pStyle w:val="TOC2"/>
            <w:rPr/>
          </w:pPr>
          <w:r>
            <w:rPr/>
            <w:t>Section 12.2</w:t>
            <w:tab/>
            <w:t>Severability.</w:t>
            <w:tab/>
          </w:r>
          <w:hyperlink w:anchor="__RefHeading___Toc513389532">
            <w:r>
              <w:rPr>
                <w:rStyle w:val="IndexLink"/>
              </w:rPr>
              <w:t>21</w:t>
            </w:r>
          </w:hyperlink>
        </w:p>
        <w:p>
          <w:pPr>
            <w:pStyle w:val="TOC2"/>
            <w:rPr/>
          </w:pPr>
          <w:r>
            <w:rPr/>
            <w:t>Section 12.3</w:t>
            <w:tab/>
            <w:t>Entire Agreement.</w:t>
            <w:tab/>
          </w:r>
          <w:hyperlink w:anchor="__RefHeading___Toc513389533">
            <w:r>
              <w:rPr>
                <w:rStyle w:val="IndexLink"/>
              </w:rPr>
              <w:t>21</w:t>
            </w:r>
          </w:hyperlink>
        </w:p>
        <w:p>
          <w:pPr>
            <w:pStyle w:val="TOC2"/>
            <w:rPr/>
          </w:pPr>
          <w:r>
            <w:rPr/>
            <w:t>Section 12.4</w:t>
            <w:tab/>
            <w:t>Amendments and Waivers.</w:t>
            <w:tab/>
          </w:r>
          <w:hyperlink w:anchor="__RefHeading___Toc513389534">
            <w:r>
              <w:rPr>
                <w:rStyle w:val="IndexLink"/>
              </w:rPr>
              <w:t>21</w:t>
            </w:r>
          </w:hyperlink>
        </w:p>
        <w:p>
          <w:pPr>
            <w:pStyle w:val="TOC2"/>
            <w:rPr/>
          </w:pPr>
          <w:r>
            <w:rPr/>
            <w:t>Section 12.5</w:t>
            <w:tab/>
            <w:t>Notices.</w:t>
            <w:tab/>
          </w:r>
          <w:hyperlink w:anchor="__RefHeading___Toc513389535">
            <w:r>
              <w:rPr>
                <w:rStyle w:val="IndexLink"/>
              </w:rPr>
              <w:t>21</w:t>
            </w:r>
          </w:hyperlink>
        </w:p>
        <w:p>
          <w:pPr>
            <w:pStyle w:val="TOC2"/>
            <w:rPr/>
          </w:pPr>
          <w:r>
            <w:rPr/>
            <w:t>Section 12.6</w:t>
            <w:tab/>
            <w:t>Additional Documents and Actions.</w:t>
            <w:tab/>
          </w:r>
          <w:hyperlink w:anchor="__RefHeading___Toc513389536">
            <w:r>
              <w:rPr>
                <w:rStyle w:val="IndexLink"/>
              </w:rPr>
              <w:t>22</w:t>
            </w:r>
          </w:hyperlink>
        </w:p>
        <w:p>
          <w:pPr>
            <w:pStyle w:val="TOC2"/>
            <w:rPr/>
          </w:pPr>
          <w:r>
            <w:rPr/>
            <w:t>Section 12.7</w:t>
            <w:tab/>
            <w:t>Counterparts.</w:t>
            <w:tab/>
          </w:r>
          <w:hyperlink w:anchor="__RefHeading___Toc513389537">
            <w:r>
              <w:rPr>
                <w:rStyle w:val="IndexLink"/>
              </w:rPr>
              <w:t>22</w:t>
            </w:r>
          </w:hyperlink>
          <w:r>
            <w:rPr>
              <w:rStyle w:val="IndexLink"/>
            </w:rPr>
            <w:fldChar w:fldCharType="end"/>
          </w:r>
        </w:p>
      </w:sdtContent>
    </w:sdt>
    <w:p>
      <w:pPr>
        <w:pStyle w:val="TOC2"/>
        <w:rPr>
          <w:lang w:val="en-US"/>
        </w:rPr>
      </w:pPr>
      <w:r>
        <w:rPr>
          <w:lang w:val="en-US"/>
        </w:rPr>
      </w:r>
    </w:p>
    <w:p>
      <w:pPr>
        <w:pStyle w:val="Normal"/>
        <w:keepNext w:val="true"/>
        <w:keepLines/>
        <w:ind w:firstLine="360" w:end="0"/>
        <w:rPr>
          <w:u w:val="single"/>
        </w:rPr>
      </w:pPr>
      <w:r>
        <w:rPr>
          <w:u w:val="single"/>
        </w:rPr>
        <w:t>EXHIBITS</w:t>
      </w:r>
    </w:p>
    <w:p>
      <w:pPr>
        <w:pStyle w:val="Normal"/>
        <w:keepNext w:val="true"/>
        <w:keepLines/>
        <w:jc w:val="center"/>
        <w:rPr/>
      </w:pPr>
      <w:r>
        <w:rPr/>
      </w:r>
    </w:p>
    <w:p>
      <w:pPr>
        <w:pStyle w:val="Normal"/>
        <w:keepNext w:val="true"/>
        <w:keepLines/>
        <w:ind w:firstLine="360" w:end="0"/>
        <w:rPr/>
      </w:pPr>
      <w:r>
        <w:rPr/>
        <w:t>Exhibit A - Project Contracts</w:t>
      </w:r>
    </w:p>
    <w:p>
      <w:pPr>
        <w:pStyle w:val="Normal"/>
        <w:keepNext w:val="true"/>
        <w:keepLines/>
        <w:ind w:firstLine="360" w:end="0"/>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TOC2"/>
        <w:rPr/>
      </w:pPr>
      <w:r>
        <w:rPr/>
      </w:r>
    </w:p>
    <w:p>
      <w:pPr>
        <w:pStyle w:val="Heading"/>
        <w:rPr/>
      </w:pPr>
      <w:r>
        <w:rPr/>
        <w:t>ASSET MANAGEMENT AGREEMENT</w:t>
      </w:r>
    </w:p>
    <w:p>
      <w:pPr>
        <w:pStyle w:val="NormalIndent"/>
        <w:widowControl/>
        <w:ind w:firstLine="720" w:end="0"/>
        <w:rPr/>
      </w:pPr>
      <w:r>
        <w:rPr/>
        <w:t>This Agreement (“</w:t>
      </w:r>
      <w:r>
        <w:rPr>
          <w:i/>
        </w:rPr>
        <w:t>Agreement</w:t>
      </w:r>
      <w:r>
        <w:rPr/>
        <w:t xml:space="preserve">”) is entered into May ______, 2001 by and between </w:t>
      </w:r>
      <w:r>
        <w:rPr>
          <w:b/>
        </w:rPr>
        <w:t>ENRON POWER MARKETING, INC.</w:t>
      </w:r>
      <w:r>
        <w:rPr/>
        <w:t>, a Delaware corporation (“</w:t>
      </w:r>
      <w:r>
        <w:rPr>
          <w:i/>
        </w:rPr>
        <w:t>Contractor</w:t>
      </w:r>
      <w:r>
        <w:rPr/>
        <w:t xml:space="preserve">”), </w:t>
      </w:r>
      <w:r>
        <w:rPr>
          <w:b/>
        </w:rPr>
        <w:t>NORTH CAROLINA POWER HOLDINGS, LLC</w:t>
      </w:r>
      <w:r>
        <w:rPr/>
        <w:t>, (“</w:t>
      </w:r>
      <w:r>
        <w:rPr>
          <w:i/>
        </w:rPr>
        <w:t>NCPH</w:t>
      </w:r>
      <w:r>
        <w:rPr/>
        <w:t xml:space="preserve">”), </w:t>
      </w:r>
      <w:r>
        <w:rPr>
          <w:b/>
        </w:rPr>
        <w:t>ELIZABETHTOWN POWER, LLC</w:t>
      </w:r>
      <w:r>
        <w:rPr/>
        <w:t>, a Delaware limited liability company (“</w:t>
      </w:r>
      <w:r>
        <w:rPr>
          <w:i/>
        </w:rPr>
        <w:t>Elizabethtown LLC</w:t>
      </w:r>
      <w:r>
        <w:rPr/>
        <w:t xml:space="preserve">”) and </w:t>
      </w:r>
      <w:r>
        <w:rPr>
          <w:b/>
        </w:rPr>
        <w:t>LUMBERTON POWER, LLC</w:t>
      </w:r>
      <w:r>
        <w:rPr/>
        <w:t>, a Delaware limited liability company (“</w:t>
      </w:r>
      <w:r>
        <w:rPr>
          <w:i/>
        </w:rPr>
        <w:t>Lumberton LLC”</w:t>
      </w:r>
      <w:r>
        <w:rPr/>
        <w:t>) (NCPH, Elizabethtown LLC and Lumberton LLC being collectively referred to herein as the “</w:t>
      </w:r>
      <w:r>
        <w:rPr>
          <w:i/>
        </w:rPr>
        <w:t>Owner</w:t>
      </w:r>
      <w:r>
        <w:rPr/>
        <w:t>”).  Owner and Contractor are referred to sometimes as “</w:t>
      </w:r>
      <w:r>
        <w:rPr>
          <w:i/>
        </w:rPr>
        <w:t>Party</w:t>
      </w:r>
      <w:r>
        <w:rPr/>
        <w:t>” or “</w:t>
      </w:r>
      <w:r>
        <w:rPr>
          <w:i/>
        </w:rPr>
        <w:t>Parties</w:t>
      </w:r>
      <w:r>
        <w:rPr/>
        <w:t>” as the context may require.</w:t>
      </w:r>
    </w:p>
    <w:p>
      <w:pPr>
        <w:pStyle w:val="BodyTextFirstIndent"/>
        <w:rPr/>
      </w:pPr>
      <w:r>
        <w:rPr/>
        <w:t>WHEREAS, each of Elizabethtown LLC and Lumberton LLC own a coal-fired power generation facility located in North Carolina;</w:t>
      </w:r>
    </w:p>
    <w:p>
      <w:pPr>
        <w:pStyle w:val="BodyTextFirstIndent"/>
        <w:rPr/>
      </w:pPr>
      <w:r>
        <w:rPr/>
        <w:t>WHEREAS, Owner desires to engage Contractor to provide asset management services for the Facilities and the other services as more particularly described below, subject to the terms, conditions and limitations set forth in this Agreement;</w:t>
      </w:r>
    </w:p>
    <w:p>
      <w:pPr>
        <w:pStyle w:val="BodyTextFirstIndent"/>
        <w:rPr/>
      </w:pPr>
      <w:r>
        <w:rPr/>
        <w:t xml:space="preserve">WHEREAS, Contractor desires to provide asset management services relating to the Facilities, and to provide such other services to Owner as more particularly described below, and subject to the terms, conditions and limitations set forth in this Agreement; </w:t>
      </w:r>
    </w:p>
    <w:p>
      <w:pPr>
        <w:pStyle w:val="BodyTextFirstIndent"/>
        <w:rPr/>
      </w:pPr>
      <w:r>
        <w:rPr/>
        <w:t>NOW, THEREFORE, in consideration of the foregoing, and other good and valuable considerat</w:t>
      </w:r>
      <w:bookmarkStart w:id="0" w:name="DocXGoBackHere"/>
      <w:bookmarkEnd w:id="0"/>
      <w:r>
        <w:rPr/>
        <w:t>ion, the receipt and sufficiency of which are hereby acknowledged by each Party, the Parties hereby agree as follows:</w:t>
      </w:r>
    </w:p>
    <w:p>
      <w:pPr>
        <w:pStyle w:val="Legal2L1"/>
        <w:numPr>
          <w:ilvl w:val="0"/>
          <w:numId w:val="3"/>
        </w:numPr>
        <w:ind w:hanging="0" w:start="0"/>
        <w:rPr/>
      </w:pPr>
      <w:bookmarkStart w:id="1" w:name="__RefHeading___Toc513389480"/>
      <w:bookmarkEnd w:id="1"/>
      <w:r>
        <w:rPr/>
        <w:t>Definitions And Interpretation</w:t>
      </w:r>
    </w:p>
    <w:p>
      <w:pPr>
        <w:pStyle w:val="Legal2L2"/>
        <w:numPr>
          <w:ilvl w:val="1"/>
          <w:numId w:val="3"/>
        </w:numPr>
        <w:ind w:hanging="0" w:start="0"/>
        <w:rPr>
          <w:vanish/>
          <w:color w:val="FF0000"/>
        </w:rPr>
      </w:pPr>
      <w:bookmarkStart w:id="2" w:name="__RefHeading___Toc513389481"/>
      <w:r>
        <w:rPr/>
        <w:t>Definitions</w:t>
      </w:r>
      <w:r>
        <w:rPr>
          <w:u w:val="none"/>
        </w:rPr>
        <w:t>.</w:t>
      </w:r>
      <w:bookmarkEnd w:id="2"/>
      <w:r>
        <w:rPr>
          <w:u w:val="none"/>
        </w:rPr>
        <w:t xml:space="preserve">  </w:t>
      </w:r>
    </w:p>
    <w:p>
      <w:pPr>
        <w:pStyle w:val="BodyText"/>
        <w:rPr/>
      </w:pPr>
      <w:r>
        <w:rPr/>
        <w:t>The following terms shall have the following meanings:</w:t>
      </w:r>
    </w:p>
    <w:p>
      <w:pPr>
        <w:pStyle w:val="BodyTextFirstIndent"/>
        <w:rPr/>
      </w:pPr>
      <w:r>
        <w:rPr/>
        <w:t>“</w:t>
      </w:r>
      <w:r>
        <w:rPr>
          <w:i/>
        </w:rPr>
        <w:t>AAA Rules</w:t>
      </w:r>
      <w:r>
        <w:rPr/>
        <w:t xml:space="preserve">” is defined in </w:t>
      </w:r>
      <w:r>
        <w:rPr>
          <w:u w:val="single"/>
        </w:rPr>
        <w:t>Section 10.1(a)</w:t>
      </w:r>
      <w:r>
        <w:rPr/>
        <w:t>.</w:t>
      </w:r>
    </w:p>
    <w:p>
      <w:pPr>
        <w:pStyle w:val="BodyTextFirstIndent"/>
        <w:rPr/>
      </w:pPr>
      <w:r>
        <w:rPr/>
        <w:t>“</w:t>
      </w:r>
      <w:r>
        <w:rPr>
          <w:i/>
        </w:rPr>
        <w:t>Affiliate</w:t>
      </w:r>
      <w:r>
        <w:rPr/>
        <w:t>”</w:t>
      </w:r>
      <w:r>
        <w:rPr>
          <w:i/>
        </w:rPr>
        <w:t xml:space="preserve"> </w:t>
      </w:r>
      <w:r>
        <w:rPr/>
        <w:t>means, as to the Person specified, any Person controlling, controlled by or under common control with such specified Person.  The concept of control, controlling or controlled as used in the aforesaid context means the possession, directly or indirectly, of the power to direct or cause the direction of the management and policies of another, whether through the ownership of voting securities, by contract or otherwise.  No Person shall be deemed an Affiliate of any Person by reason of the exercise or existence of rights, interests, or remedies under this Agreement.</w:t>
      </w:r>
    </w:p>
    <w:p>
      <w:pPr>
        <w:pStyle w:val="BodyTextFirstIndent"/>
        <w:rPr/>
      </w:pPr>
      <w:r>
        <w:rPr/>
        <w:t>“</w:t>
      </w:r>
      <w:r>
        <w:rPr>
          <w:i/>
        </w:rPr>
        <w:t>Aggregate Limit</w:t>
      </w:r>
      <w:r>
        <w:rPr/>
        <w:t xml:space="preserve">” is defined in </w:t>
      </w:r>
      <w:r>
        <w:rPr>
          <w:u w:val="single"/>
        </w:rPr>
        <w:t>Section 8.2</w:t>
      </w:r>
      <w:r>
        <w:rPr/>
        <w:t>.</w:t>
      </w:r>
    </w:p>
    <w:p>
      <w:pPr>
        <w:pStyle w:val="BodyTextFirstIndent"/>
        <w:rPr/>
      </w:pPr>
      <w:r>
        <w:rPr/>
        <w:t>“</w:t>
      </w:r>
      <w:r>
        <w:rPr>
          <w:i/>
        </w:rPr>
        <w:t>Ancillary Services</w:t>
      </w:r>
      <w:r>
        <w:rPr/>
        <w:t>” means those ancillary services described in the Interconnection Agreements.</w:t>
      </w:r>
    </w:p>
    <w:p>
      <w:pPr>
        <w:pStyle w:val="BodyTextFirstIndent"/>
        <w:rPr/>
      </w:pPr>
      <w:r>
        <w:rPr/>
        <w:t>“</w:t>
      </w:r>
      <w:r>
        <w:rPr>
          <w:i/>
        </w:rPr>
        <w:t>Applicable Law</w:t>
      </w:r>
      <w:r>
        <w:rPr/>
        <w:t>”</w:t>
      </w:r>
      <w:r>
        <w:rPr>
          <w:i/>
        </w:rPr>
        <w:t xml:space="preserve"> </w:t>
      </w:r>
      <w:r>
        <w:rPr/>
        <w:t>means applicable statutes, laws (including common law), ordinances, regulations, rules, rulings, orders, writs, injunctions, decrees, or other official acts of or by any Governmental Authority.</w:t>
      </w:r>
    </w:p>
    <w:p>
      <w:pPr>
        <w:pStyle w:val="BodyTextFirstIndent"/>
        <w:rPr/>
      </w:pPr>
      <w:r>
        <w:rPr/>
        <w:t>“</w:t>
      </w:r>
      <w:r>
        <w:rPr>
          <w:i/>
        </w:rPr>
        <w:t>Available Energy</w:t>
      </w:r>
      <w:r>
        <w:rPr/>
        <w:t>” means Energy that is available for sale on any given day that is in excess of the Energy required to be sold under any Existing Transactions (including by reason of the exercise of an option thereunder), up to the total amount of Energy on any day that can be produced from the Facilities.</w:t>
      </w:r>
    </w:p>
    <w:p>
      <w:pPr>
        <w:pStyle w:val="BodyTextFirstIndent"/>
        <w:rPr/>
      </w:pPr>
      <w:r>
        <w:rPr/>
        <w:t>“</w:t>
      </w:r>
      <w:r>
        <w:rPr>
          <w:i/>
        </w:rPr>
        <w:t>Brokerage Agreement</w:t>
      </w:r>
      <w:r>
        <w:rPr/>
        <w:t>” means that certain agreement between Highstar and ECT Securities Limited Partnership of even date herewith.</w:t>
      </w:r>
    </w:p>
    <w:p>
      <w:pPr>
        <w:pStyle w:val="BodyTextFirstIndent"/>
        <w:rPr/>
      </w:pPr>
      <w:r>
        <w:rPr/>
        <w:t>“</w:t>
      </w:r>
      <w:r>
        <w:rPr>
          <w:i/>
        </w:rPr>
        <w:t>Budget</w:t>
      </w:r>
      <w:r>
        <w:rPr/>
        <w:t>” is defined in the O&amp;M Agreement.</w:t>
      </w:r>
    </w:p>
    <w:p>
      <w:pPr>
        <w:pStyle w:val="BodyTextFirstIndent"/>
        <w:rPr/>
      </w:pPr>
      <w:r>
        <w:rPr/>
        <w:t>“</w:t>
      </w:r>
      <w:r>
        <w:rPr>
          <w:i/>
        </w:rPr>
        <w:t>Business</w:t>
      </w:r>
      <w:r>
        <w:rPr/>
        <w:t>” means all business activities of the Owner.</w:t>
      </w:r>
    </w:p>
    <w:p>
      <w:pPr>
        <w:pStyle w:val="BodyTextFirstIndent"/>
        <w:rPr/>
      </w:pPr>
      <w:r>
        <w:rPr/>
        <w:t>“</w:t>
      </w:r>
      <w:r>
        <w:rPr>
          <w:i/>
        </w:rPr>
        <w:t>Business Day</w:t>
      </w:r>
      <w:r>
        <w:rPr/>
        <w:t xml:space="preserve">” means any day except a Saturday, Sunday, or a Federal Reserve Bank holiday. </w:t>
      </w:r>
    </w:p>
    <w:p>
      <w:pPr>
        <w:pStyle w:val="BodyTextFirstIndent"/>
        <w:rPr/>
      </w:pPr>
      <w:r>
        <w:rPr/>
        <w:t>“</w:t>
      </w:r>
      <w:r>
        <w:rPr>
          <w:i/>
        </w:rPr>
        <w:t>Buyer</w:t>
      </w:r>
      <w:r>
        <w:rPr/>
        <w:t>” means the party to a Transaction that is obligated to purchase and receive, or cause to be received, the Product, as specified in a Transaction (who, for the avoidance of doubt, will be Contractor (or its Affiliate) under a Contractor Transaction).</w:t>
      </w:r>
    </w:p>
    <w:p>
      <w:pPr>
        <w:pStyle w:val="BodyTextFirstIndent"/>
        <w:rPr/>
      </w:pPr>
      <w:r>
        <w:rPr/>
        <w:t>“</w:t>
      </w:r>
      <w:r>
        <w:rPr>
          <w:i/>
        </w:rPr>
        <w:t>Capacity</w:t>
      </w:r>
      <w:r>
        <w:rPr/>
        <w:t>” means the available generating capacity from the Facilities.</w:t>
      </w:r>
    </w:p>
    <w:p>
      <w:pPr>
        <w:pStyle w:val="BodyTextFirstIndent"/>
        <w:rPr/>
      </w:pPr>
      <w:r>
        <w:rPr/>
        <w:t>“</w:t>
      </w:r>
      <w:r>
        <w:rPr>
          <w:i/>
        </w:rPr>
        <w:t>Communication Procedures</w:t>
      </w:r>
      <w:r>
        <w:rPr/>
        <w:t>” means the procedures agreed to and employed by the Parties from time to time for the exchange of information between Energy Coordinators necessary or desirable in determining the Products available under this Agreement.</w:t>
      </w:r>
    </w:p>
    <w:p>
      <w:pPr>
        <w:pStyle w:val="BodyTextFirstIndent"/>
        <w:rPr/>
      </w:pPr>
      <w:r>
        <w:rPr/>
        <w:t>“</w:t>
      </w:r>
      <w:r>
        <w:rPr>
          <w:i/>
        </w:rPr>
        <w:t>Confirmation”</w:t>
      </w:r>
      <w:r>
        <w:rPr/>
        <w:t xml:space="preserve"> means the document provided for under the EEI Master which specifies the Product being sold, the duration of the Transaction and the other terms of such sale, including price.</w:t>
      </w:r>
    </w:p>
    <w:p>
      <w:pPr>
        <w:pStyle w:val="BodyTextFirstIndent"/>
        <w:rPr/>
      </w:pPr>
      <w:r>
        <w:rPr/>
        <w:t>“</w:t>
      </w:r>
      <w:r>
        <w:rPr>
          <w:i/>
        </w:rPr>
        <w:t>Contractor Indemnified Parties</w:t>
      </w:r>
      <w:r>
        <w:rPr/>
        <w:t xml:space="preserve">” is defined in </w:t>
      </w:r>
      <w:r>
        <w:rPr>
          <w:u w:val="single"/>
        </w:rPr>
        <w:t>Section 7.2</w:t>
      </w:r>
      <w:r>
        <w:rPr/>
        <w:t>.</w:t>
      </w:r>
    </w:p>
    <w:p>
      <w:pPr>
        <w:pStyle w:val="BodyTextFirstIndent"/>
        <w:rPr/>
      </w:pPr>
      <w:r>
        <w:rPr/>
        <w:t>“</w:t>
      </w:r>
      <w:r>
        <w:rPr>
          <w:i/>
        </w:rPr>
        <w:t>Contractor Transaction</w:t>
      </w:r>
      <w:r>
        <w:rPr/>
        <w:t>” means a Transaction under which Owner agrees to sell Products to Contractor pursuant to the terms of a Transaction Agreement.</w:t>
      </w:r>
    </w:p>
    <w:p>
      <w:pPr>
        <w:pStyle w:val="BodyTextFirstIndent"/>
        <w:rPr/>
      </w:pPr>
      <w:r>
        <w:rPr/>
        <w:t>“</w:t>
      </w:r>
      <w:r>
        <w:rPr>
          <w:i/>
        </w:rPr>
        <w:t>CP&amp;L</w:t>
      </w:r>
      <w:r>
        <w:rPr/>
        <w:t>”</w:t>
      </w:r>
      <w:r>
        <w:rPr>
          <w:i/>
        </w:rPr>
        <w:t xml:space="preserve"> </w:t>
      </w:r>
      <w:r>
        <w:rPr/>
        <w:t>means Carolina Power &amp; Light Company, a North Carolina corporation (and a subsidiary of Progress Energy, Inc.), and its successors and assigns.</w:t>
      </w:r>
    </w:p>
    <w:p>
      <w:pPr>
        <w:pStyle w:val="BodyTextFirstIndent"/>
        <w:rPr/>
      </w:pPr>
      <w:r>
        <w:rPr/>
        <w:t>“</w:t>
      </w:r>
      <w:r>
        <w:rPr>
          <w:i/>
        </w:rPr>
        <w:t>CP&amp;L Agreement</w:t>
      </w:r>
      <w:r>
        <w:rPr/>
        <w:t>”</w:t>
      </w:r>
      <w:r>
        <w:rPr>
          <w:i/>
        </w:rPr>
        <w:t xml:space="preserve"> </w:t>
      </w:r>
      <w:r>
        <w:rPr/>
        <w:t>means that certain Confirmation Letter dated March [26], 2001 between CP&amp;L and NCPH. [</w:t>
      </w:r>
      <w:r>
        <w:rPr>
          <w:b/>
        </w:rPr>
        <w:t>Note: We have been provided with a 3/22/01 version.</w:t>
      </w:r>
      <w:r>
        <w:rPr/>
        <w:t>]</w:t>
      </w:r>
    </w:p>
    <w:p>
      <w:pPr>
        <w:pStyle w:val="BodyTextFirstIndent"/>
        <w:rPr/>
      </w:pPr>
      <w:r>
        <w:rPr/>
        <w:t>“</w:t>
      </w:r>
      <w:r>
        <w:rPr>
          <w:i/>
        </w:rPr>
        <w:t>Defaulting Party</w:t>
      </w:r>
      <w:r>
        <w:rPr/>
        <w:t xml:space="preserve">” is defined in </w:t>
      </w:r>
      <w:r>
        <w:rPr>
          <w:u w:val="single"/>
        </w:rPr>
        <w:t>Section 6.2(a)</w:t>
      </w:r>
      <w:r>
        <w:rPr/>
        <w:t>.</w:t>
      </w:r>
    </w:p>
    <w:p>
      <w:pPr>
        <w:pStyle w:val="BodyTextFirstIndent"/>
        <w:rPr/>
      </w:pPr>
      <w:r>
        <w:rPr/>
        <w:t>“</w:t>
      </w:r>
      <w:r>
        <w:rPr>
          <w:i/>
        </w:rPr>
        <w:t>Delivery Point</w:t>
      </w:r>
      <w:r>
        <w:rPr/>
        <w:t>” means the applicable interconnection point as described in the Interconnection Agreements, or as otherwise specified in a Structured Transaction.</w:t>
      </w:r>
    </w:p>
    <w:p>
      <w:pPr>
        <w:pStyle w:val="BodyTextFirstIndent"/>
        <w:rPr/>
      </w:pPr>
      <w:r>
        <w:rPr/>
        <w:t>“</w:t>
      </w:r>
      <w:r>
        <w:rPr>
          <w:i/>
        </w:rPr>
        <w:t>Dispatch Notice</w:t>
      </w:r>
      <w:r>
        <w:rPr/>
        <w:t>” is defined in the O&amp;M Agreement.</w:t>
      </w:r>
    </w:p>
    <w:p>
      <w:pPr>
        <w:pStyle w:val="BodyTextFirstIndent"/>
        <w:rPr/>
      </w:pPr>
      <w:r>
        <w:rPr/>
        <w:t>“</w:t>
      </w:r>
      <w:r>
        <w:rPr>
          <w:i/>
        </w:rPr>
        <w:t>Dispute</w:t>
      </w:r>
      <w:r>
        <w:rPr/>
        <w:t>”</w:t>
      </w:r>
      <w:r>
        <w:rPr>
          <w:i/>
        </w:rPr>
        <w:t xml:space="preserve"> </w:t>
      </w:r>
      <w:r>
        <w:rPr/>
        <w:t xml:space="preserve">is defined in </w:t>
      </w:r>
      <w:r>
        <w:rPr>
          <w:u w:val="single"/>
        </w:rPr>
        <w:t>Section 10.1(a)</w:t>
      </w:r>
      <w:r>
        <w:rPr/>
        <w:t>.</w:t>
      </w:r>
    </w:p>
    <w:p>
      <w:pPr>
        <w:pStyle w:val="BodyTextFirstIndent"/>
        <w:rPr/>
      </w:pPr>
      <w:r>
        <w:rPr/>
        <w:t>“</w:t>
      </w:r>
      <w:r>
        <w:rPr>
          <w:i/>
        </w:rPr>
        <w:t>EEI Master</w:t>
      </w:r>
      <w:r>
        <w:rPr/>
        <w:t>” means Version 2.1 of that certain form of Master Power Purchase and Sale Agreement prepared by a committee of representatives of Edison Electric Institute and National Energy Marketers Association member companies and dated April 25, 2000, together with Riders __________ and Schedules ___________.</w:t>
      </w:r>
    </w:p>
    <w:p>
      <w:pPr>
        <w:pStyle w:val="BodyTextFirstIndent"/>
        <w:rPr/>
      </w:pPr>
      <w:r>
        <w:rPr/>
        <w:t>“</w:t>
      </w:r>
      <w:r>
        <w:rPr>
          <w:i/>
        </w:rPr>
        <w:t>Effective Date</w:t>
      </w:r>
      <w:r>
        <w:rPr/>
        <w:t>”</w:t>
      </w:r>
      <w:r>
        <w:rPr>
          <w:i/>
        </w:rPr>
        <w:t xml:space="preserve"> </w:t>
      </w:r>
      <w:r>
        <w:rPr/>
        <w:t>means May 1, 2001.</w:t>
      </w:r>
    </w:p>
    <w:p>
      <w:pPr>
        <w:pStyle w:val="BodyTextFirstIndent"/>
        <w:rPr/>
      </w:pPr>
      <w:r>
        <w:rPr/>
        <w:t>“</w:t>
      </w:r>
      <w:r>
        <w:rPr>
          <w:i/>
        </w:rPr>
        <w:t>ENA</w:t>
      </w:r>
      <w:r>
        <w:rPr/>
        <w:t>” means Enron North America Corp., a Delaware corporation.</w:t>
      </w:r>
    </w:p>
    <w:p>
      <w:pPr>
        <w:pStyle w:val="BodyTextFirstIndent"/>
        <w:rPr/>
      </w:pPr>
      <w:r>
        <w:rPr/>
        <w:t>“</w:t>
      </w:r>
      <w:r>
        <w:rPr>
          <w:i/>
        </w:rPr>
        <w:t>Energy</w:t>
      </w:r>
      <w:r>
        <w:rPr/>
        <w:t>” means the electrical energy produced by the Facilities.</w:t>
      </w:r>
    </w:p>
    <w:p>
      <w:pPr>
        <w:pStyle w:val="BodyTextFirstIndent"/>
        <w:rPr/>
      </w:pPr>
      <w:r>
        <w:rPr/>
        <w:t>“</w:t>
      </w:r>
      <w:r>
        <w:rPr>
          <w:i/>
        </w:rPr>
        <w:t>Energy Coordinator</w:t>
      </w:r>
      <w:r>
        <w:rPr/>
        <w:t xml:space="preserve">” means the person named from time to time by each Party, in accordance with </w:t>
      </w:r>
      <w:r>
        <w:rPr>
          <w:u w:val="single"/>
        </w:rPr>
        <w:t>Section 3.4</w:t>
      </w:r>
      <w:r>
        <w:rPr/>
        <w:t xml:space="preserve"> hereof, to exchange information between the Parties and to coordinate the fulfillment of the duties of the Parties under this Agreement.</w:t>
      </w:r>
    </w:p>
    <w:p>
      <w:pPr>
        <w:pStyle w:val="BodyTextFirstIndent"/>
        <w:rPr/>
      </w:pPr>
      <w:r>
        <w:rPr/>
        <w:t>“</w:t>
      </w:r>
      <w:r>
        <w:rPr>
          <w:i/>
        </w:rPr>
        <w:t>Event of Default</w:t>
      </w:r>
      <w:r>
        <w:rPr/>
        <w:t>”</w:t>
      </w:r>
      <w:r>
        <w:rPr>
          <w:i/>
        </w:rPr>
        <w:t xml:space="preserve"> </w:t>
      </w:r>
      <w:r>
        <w:rPr/>
        <w:t xml:space="preserve">is defined in </w:t>
      </w:r>
      <w:r>
        <w:rPr>
          <w:u w:val="single"/>
        </w:rPr>
        <w:t>Section 6.1</w:t>
      </w:r>
      <w:r>
        <w:rPr/>
        <w:t>.</w:t>
      </w:r>
    </w:p>
    <w:p>
      <w:pPr>
        <w:pStyle w:val="NormalIndent"/>
        <w:widowControl/>
        <w:ind w:firstLine="720" w:end="0"/>
        <w:rPr/>
      </w:pPr>
      <w:r>
        <w:rPr/>
        <w:t>[“</w:t>
      </w:r>
      <w:r>
        <w:rPr>
          <w:i/>
        </w:rPr>
        <w:t>Existing Transaction Costs</w:t>
      </w:r>
      <w:r>
        <w:rPr/>
        <w:t>” means costs incurred by either Contractor or Owner in fulfilling Owner’s obligations under any Existing Transaction.][</w:t>
      </w:r>
      <w:r>
        <w:rPr>
          <w:b/>
          <w:i/>
        </w:rPr>
        <w:t>CANNOT HAVE DOUBLE COUNTING UNDER PURCHASE PRICE ADJUSTMENT IN SPA.</w:t>
      </w:r>
      <w:r>
        <w:rPr/>
        <w:t>]</w:t>
      </w:r>
    </w:p>
    <w:p>
      <w:pPr>
        <w:pStyle w:val="BodyTextFirstIndent"/>
        <w:rPr/>
      </w:pPr>
      <w:r>
        <w:rPr/>
        <w:t>“</w:t>
      </w:r>
      <w:r>
        <w:rPr>
          <w:i/>
        </w:rPr>
        <w:t>Existing Transaction</w:t>
      </w:r>
      <w:r>
        <w:rPr/>
        <w:t xml:space="preserve">” means those fully executed written transactions in effect on the Effective Date, under which a third party is obligated or has the option to purchase and Owner is obligated to sell Energy, Capacity and/or Ancillary Services, identified on Exhibit [___] attached hereto. </w:t>
      </w:r>
    </w:p>
    <w:p>
      <w:pPr>
        <w:pStyle w:val="BodyTextFirstIndent"/>
        <w:rPr/>
      </w:pPr>
      <w:r>
        <w:rPr/>
        <w:t>“</w:t>
      </w:r>
      <w:r>
        <w:rPr>
          <w:i/>
        </w:rPr>
        <w:t>Expiration Date</w:t>
      </w:r>
      <w:r>
        <w:rPr/>
        <w:t>”</w:t>
      </w:r>
      <w:r>
        <w:rPr>
          <w:i/>
        </w:rPr>
        <w:t xml:space="preserve"> </w:t>
      </w:r>
      <w:r>
        <w:rPr/>
        <w:t>means the date of consummation of a “Subsequent Sale” under and as defined in the Securities Purchase Agreement.</w:t>
      </w:r>
    </w:p>
    <w:p>
      <w:pPr>
        <w:pStyle w:val="BodyTextFirstIndent"/>
        <w:rPr/>
      </w:pPr>
      <w:r>
        <w:rPr/>
        <w:t>“</w:t>
      </w:r>
      <w:r>
        <w:rPr>
          <w:i/>
        </w:rPr>
        <w:t xml:space="preserve">Facilities" </w:t>
      </w:r>
      <w:r>
        <w:rPr/>
        <w:t>means two 35 MW coal fired cogeneration plants located in Elizabethtown and Lumberton, North Carolina, and all of the assets related thereto owned by Elizabethtown LLC and Lumberton LLC, respectively.</w:t>
      </w:r>
    </w:p>
    <w:p>
      <w:pPr>
        <w:pStyle w:val="BodyTextFirstIndent"/>
        <w:rPr/>
      </w:pPr>
      <w:r>
        <w:rPr/>
        <w:t>“</w:t>
      </w:r>
      <w:r>
        <w:rPr>
          <w:i/>
        </w:rPr>
        <w:t>First Contingency Emergency Dispatch</w:t>
      </w:r>
      <w:r>
        <w:rPr/>
        <w:t>” means the generation of Energy by the Facilities pursuant to direction by CP&amp;L for purposes of alleviating a transmission system emergency irrespective of whether such Energy is committed under any Transaction entered into by Owner.</w:t>
      </w:r>
    </w:p>
    <w:p>
      <w:pPr>
        <w:pStyle w:val="BodyTextFirstIndent"/>
        <w:rPr/>
      </w:pPr>
      <w:r>
        <w:rPr/>
        <w:t>“</w:t>
      </w:r>
      <w:r>
        <w:rPr>
          <w:i/>
        </w:rPr>
        <w:t>Forced Outage</w:t>
      </w:r>
      <w:r>
        <w:rPr/>
        <w:t>” means the removal from service availability of a generating unit, transmission line or other Facility for emergency reasons. A Forced Outage shall be deemed to occur when an equipment failure, operator intervention or other action or inaction occurs that causes the Facilities to reduce output from the current full capacity of the Facilities either directed by operator action or as the result of a Facility control and/or safety system action.</w:t>
      </w:r>
    </w:p>
    <w:p>
      <w:pPr>
        <w:pStyle w:val="BodyTextFirstIndent"/>
        <w:rPr/>
      </w:pPr>
      <w:r>
        <w:rPr/>
        <w:t>“</w:t>
      </w:r>
      <w:r>
        <w:rPr>
          <w:i/>
        </w:rPr>
        <w:t>Force Majeure</w:t>
      </w:r>
      <w:r>
        <w:rPr/>
        <w:t>”</w:t>
      </w:r>
      <w:r>
        <w:rPr>
          <w:i/>
        </w:rPr>
        <w:t xml:space="preserve"> </w:t>
      </w:r>
      <w:r>
        <w:rPr/>
        <w:t>means any circumstances beyond the reasonable control of the Party claiming Force Majeure including, but not limited to, the following:</w:t>
      </w:r>
    </w:p>
    <w:p>
      <w:pPr>
        <w:pStyle w:val="Legal2L3"/>
        <w:numPr>
          <w:ilvl w:val="2"/>
          <w:numId w:val="3"/>
        </w:numPr>
        <w:ind w:hanging="0" w:start="0"/>
        <w:rPr/>
      </w:pPr>
      <w:r>
        <w:rPr/>
        <w:t>explosions, fires, nuclear radiation, contamination, hurricanes, earthquakes, floods, natural disasters, epidemics, other acts of God, and any other similar circumstances;</w:t>
      </w:r>
    </w:p>
    <w:p>
      <w:pPr>
        <w:pStyle w:val="Legal2L3"/>
        <w:numPr>
          <w:ilvl w:val="2"/>
          <w:numId w:val="3"/>
        </w:numPr>
        <w:ind w:hanging="0" w:start="0"/>
        <w:rPr/>
      </w:pPr>
      <w:r>
        <w:rPr/>
        <w:t>war and other hostilities (whether declared or not), revolution, public disorders, insurrection, rebellion, sabotage, acts of public officials or terrorist action;</w:t>
      </w:r>
    </w:p>
    <w:p>
      <w:pPr>
        <w:pStyle w:val="Legal2L3"/>
        <w:numPr>
          <w:ilvl w:val="2"/>
          <w:numId w:val="3"/>
        </w:numPr>
        <w:ind w:hanging="0" w:start="0"/>
        <w:rPr/>
      </w:pPr>
      <w:r>
        <w:rPr/>
        <w:t>failure of any third party supplier of goods or services, transporter of fuel, transmitter of electrical output, purchaser of electrical output, or the site interconnections where the relevant event constitutes force majeure under Owner's contract with that party;</w:t>
      </w:r>
    </w:p>
    <w:p>
      <w:pPr>
        <w:pStyle w:val="Legal2L3"/>
        <w:numPr>
          <w:ilvl w:val="2"/>
          <w:numId w:val="3"/>
        </w:numPr>
        <w:ind w:hanging="0" w:start="0"/>
        <w:rPr/>
      </w:pPr>
      <w:r>
        <w:rPr/>
        <w:t>any action taken by or failure to act of any Governmental Authority after the date of this Agreement, including without limitation any order, legislation, enactment, judgment, ruling or decision thereof;</w:t>
      </w:r>
    </w:p>
    <w:p>
      <w:pPr>
        <w:pStyle w:val="Legal2L3"/>
        <w:numPr>
          <w:ilvl w:val="2"/>
          <w:numId w:val="3"/>
        </w:numPr>
        <w:ind w:hanging="0" w:start="0"/>
        <w:rPr/>
      </w:pPr>
      <w:r>
        <w:rPr/>
        <w:t>labor disputes; and</w:t>
      </w:r>
    </w:p>
    <w:p>
      <w:pPr>
        <w:pStyle w:val="Legal2L3"/>
        <w:numPr>
          <w:ilvl w:val="2"/>
          <w:numId w:val="3"/>
        </w:numPr>
        <w:ind w:hanging="0" w:start="0"/>
        <w:rPr/>
      </w:pPr>
      <w:r>
        <w:rPr/>
        <w:t>major equipment failure;</w:t>
      </w:r>
    </w:p>
    <w:p>
      <w:pPr>
        <w:pStyle w:val="BodyTextFirstIndent"/>
        <w:ind w:hanging="0" w:end="0"/>
        <w:rPr/>
      </w:pPr>
      <w:r>
        <w:rPr>
          <w:u w:val="single"/>
        </w:rPr>
        <w:t>provided</w:t>
      </w:r>
      <w:r>
        <w:rPr/>
        <w:t xml:space="preserve">, </w:t>
      </w:r>
      <w:r>
        <w:rPr>
          <w:u w:val="single"/>
        </w:rPr>
        <w:t>however</w:t>
      </w:r>
      <w:r>
        <w:rPr/>
        <w:t>, that (i) none of the circumstances in paragraphs (a) through (f) shall be considered to be an event of Force Majeure to the extent such circumstance is due to the breach of contract or of statutory duty, negligence or intentional misconduct of the Party claiming Force Majeure, its representatives, its subcontractors or such subcontractor's respective representatives; and (ii) Force Majeure events shall expressly exclude a Party's financial inability to perform.</w:t>
      </w:r>
    </w:p>
    <w:p>
      <w:pPr>
        <w:pStyle w:val="BodyTextFirstIndent"/>
        <w:rPr/>
      </w:pPr>
      <w:r>
        <w:rPr/>
        <w:t>“</w:t>
      </w:r>
      <w:r>
        <w:rPr>
          <w:i/>
        </w:rPr>
        <w:t>Governmental Authority</w:t>
      </w:r>
      <w:r>
        <w:rPr/>
        <w:t>” means (i) the United States of America, (ii) any state, county, municipality, or other governmental subdivision within the United States of America, and (iii) any court or any governmental department, commission, board, bureau, agency, or other instrumentality of the United States of America or of any state, county, municipality, or other governmental subdivision within the United States of America.</w:t>
      </w:r>
    </w:p>
    <w:p>
      <w:pPr>
        <w:pStyle w:val="BodyTextFirstIndent"/>
        <w:rPr/>
      </w:pPr>
      <w:r>
        <w:rPr/>
        <w:t>“</w:t>
      </w:r>
      <w:r>
        <w:rPr>
          <w:i/>
        </w:rPr>
        <w:t>Highstar</w:t>
      </w:r>
      <w:r>
        <w:rPr/>
        <w:t>” means AIG Highstar Capital, L.P., a Delaware limited partnership.</w:t>
      </w:r>
    </w:p>
    <w:p>
      <w:pPr>
        <w:pStyle w:val="BodyTextFirstIndent"/>
        <w:rPr/>
      </w:pPr>
      <w:r>
        <w:rPr/>
        <w:t>“</w:t>
      </w:r>
      <w:r>
        <w:rPr>
          <w:i/>
        </w:rPr>
        <w:t>Indemnified Party</w:t>
      </w:r>
      <w:r>
        <w:rPr/>
        <w:t>”</w:t>
      </w:r>
      <w:r>
        <w:rPr>
          <w:i/>
        </w:rPr>
        <w:t xml:space="preserve"> </w:t>
      </w:r>
      <w:r>
        <w:rPr/>
        <w:t>and “</w:t>
      </w:r>
      <w:r>
        <w:rPr>
          <w:i/>
        </w:rPr>
        <w:t>Indemnifying Party</w:t>
      </w:r>
      <w:r>
        <w:rPr/>
        <w:t>”</w:t>
      </w:r>
      <w:r>
        <w:rPr>
          <w:i/>
        </w:rPr>
        <w:t xml:space="preserve"> </w:t>
      </w:r>
      <w:r>
        <w:rPr/>
        <w:t xml:space="preserve">are defined in </w:t>
      </w:r>
      <w:r>
        <w:rPr>
          <w:u w:val="single"/>
        </w:rPr>
        <w:t>Section  7.3</w:t>
      </w:r>
      <w:r>
        <w:rPr/>
        <w:t>.</w:t>
      </w:r>
    </w:p>
    <w:p>
      <w:pPr>
        <w:pStyle w:val="BodyTextFirstIndent"/>
        <w:rPr/>
      </w:pPr>
      <w:r>
        <w:rPr/>
        <w:t>“</w:t>
      </w:r>
      <w:r>
        <w:rPr>
          <w:i/>
        </w:rPr>
        <w:t>Interconnection Agreements</w:t>
      </w:r>
      <w:r>
        <w:rPr/>
        <w:t>” means (i) that certain Facility Interconnection and Operating Agreement dated April 18, 2001 between CP&amp;L and Elizabethtown LLC and (ii) Facility Interconnection and Operating Agreement dated April 18, 2001 between CP&amp;L and Lumberton LLC.</w:t>
      </w:r>
    </w:p>
    <w:p>
      <w:pPr>
        <w:pStyle w:val="BodyTextFirstIndent"/>
        <w:rPr/>
      </w:pPr>
      <w:r>
        <w:rPr/>
        <w:t>“</w:t>
      </w:r>
      <w:r>
        <w:rPr>
          <w:i/>
        </w:rPr>
        <w:t>LIBO Rate</w:t>
      </w:r>
      <w:r>
        <w:rPr/>
        <w:t>” means, for each calendar month, (i) the rate per annum (rounded upward, if not an integral multiple of 1/100 of 1%, to the nearest 1/100 of 1% per annum) appearing on Telerate Page 3750 (or any successor page) as the London interbank offered rate for deposits in United States dollars at approximately 11:00 a.m. (London time) two London business days before the first day of such calendar month for a term comparable to such calendar month; (ii) if for any reason the rate specified in clause (i) of this definition does not so appear on Telerate Page 3750 (or any successor page), the rate per annum (rounded upward, if not an integral multiple of 1/100 of 1%, to the nearest 1/100 of 1% per annum) appearing on Reuters Screen LIBO page (or any successor page) as the London interbank offered rate for deposits in United States dollars at approximately 11:00 a.m. (London time) two London business days before the first day of such calendar month for a term comparable to  such calendar month; provided, however, if more than one rate is specified on Reuters Screen LIBO page (or any successor page), the applicable rate shall be the arithmetic mean of all such rates; and (iii) if the rate specified in clause (i) of this definition does not so appear on Telerate Page 3750 (or any successor page) and if no rate specified in clause (ii) of this definition so appears on Reuters Screen LIBO page (or any successor page), the interest rate per annum (rounded upward to the nearest whole multiple of 1/16 of 1% per annum if such rate is not such a multiple) equal to the rate per annum at which deposits in United States dollars are offered by the principal office of Citibank, N.A. in London, England to prime banks in the London interbank market at 11:00 A.M. (London time) two London business days before the first day of such calendar month.</w:t>
      </w:r>
    </w:p>
    <w:p>
      <w:pPr>
        <w:pStyle w:val="BodyTextFirstIndent"/>
        <w:rPr/>
      </w:pPr>
      <w:r>
        <w:rPr/>
        <w:t>“</w:t>
      </w:r>
      <w:r>
        <w:rPr>
          <w:i/>
        </w:rPr>
        <w:t>Losses</w:t>
      </w:r>
      <w:r>
        <w:rPr/>
        <w:t>” means any and all claims, liabilities, losses, causes of action, fines, penalties, litigation, lawsuits, administrative proceedings, administrative investigations, costs, and expenses, including reasonable attorneys’ fees, court costs, and other costs of suit.</w:t>
      </w:r>
    </w:p>
    <w:p>
      <w:pPr>
        <w:pStyle w:val="BodyTextFirstIndent"/>
        <w:rPr/>
      </w:pPr>
      <w:r>
        <w:rPr/>
        <w:t>“</w:t>
      </w:r>
      <w:r>
        <w:rPr>
          <w:i/>
        </w:rPr>
        <w:t>Maintenance Program</w:t>
      </w:r>
      <w:r>
        <w:rPr/>
        <w:t>” is defined in the O&amp;M Agreement.</w:t>
      </w:r>
    </w:p>
    <w:p>
      <w:pPr>
        <w:pStyle w:val="BodyTextFirstIndent"/>
        <w:rPr/>
      </w:pPr>
      <w:r>
        <w:rPr/>
        <w:t>[“</w:t>
      </w:r>
      <w:r>
        <w:rPr>
          <w:i/>
        </w:rPr>
        <w:t>Marketing Expenses</w:t>
      </w:r>
      <w:r>
        <w:rPr/>
        <w:t>” means all reasonable and customary third-party brokerage fees, marketing transaction costs, RTO costs, transmission costs, and any other actual costs necessary to provide energy, capacity and ancillary services from the Facilities to the wholesale market and/or third party purchasers, including, but not limited to: (i) transmission wheeling, (ii) congestion costs, (iii) scheduling fees, (iv) ISO fees, (v) transmission losses if not otherwise accounted for, (vi) monthly data communication costs, (vii) the cost of Ancillary Services if chargeable to a power seller, (viii) control area services costs, (ix) inadvertent energy flow charges, (x) imbalance charges; and (xi) taxes (other than income, gross receipts or franchise taxes). Marketing Expenses do not include Existing Transaction Costs.][</w:t>
      </w:r>
      <w:r>
        <w:rPr>
          <w:b/>
          <w:i/>
        </w:rPr>
        <w:t>DISCUSS HOW THIS IS ENVISIONED TO WORK (PASS-THROUGH, REIMBURSEMENT, DIRECT PAY BY NCPH, ETC.).</w:t>
      </w:r>
      <w:r>
        <w:rPr/>
        <w:t xml:space="preserve">] </w:t>
      </w:r>
    </w:p>
    <w:p>
      <w:pPr>
        <w:pStyle w:val="BodyTextFirstIndent"/>
        <w:rPr/>
      </w:pPr>
      <w:r>
        <w:rPr/>
        <w:t>“</w:t>
      </w:r>
      <w:r>
        <w:rPr>
          <w:i/>
        </w:rPr>
        <w:t>Market Price</w:t>
      </w:r>
      <w:r>
        <w:rPr/>
        <w:t>” means the price paid by Contractor in any Contractor Transaction or by any third party pursuant to any Structured Transaction as set out in a Confirmation.</w:t>
      </w:r>
    </w:p>
    <w:p>
      <w:pPr>
        <w:pStyle w:val="BodyTextFirstIndent"/>
        <w:rPr/>
      </w:pPr>
      <w:r>
        <w:rPr/>
        <w:t>“</w:t>
      </w:r>
      <w:r>
        <w:rPr>
          <w:i/>
        </w:rPr>
        <w:t>MWh</w:t>
      </w:r>
      <w:r>
        <w:rPr/>
        <w:t>” means a megawatt-hour.</w:t>
      </w:r>
    </w:p>
    <w:p>
      <w:pPr>
        <w:pStyle w:val="BodyTextFirstIndent"/>
        <w:rPr/>
      </w:pPr>
      <w:r>
        <w:rPr/>
        <w:t>“</w:t>
      </w:r>
      <w:r>
        <w:rPr>
          <w:i/>
        </w:rPr>
        <w:t>O&amp;M Agreement</w:t>
      </w:r>
      <w:r>
        <w:rPr/>
        <w:t>” means (i) that certain Operation and Maintenance Agreement dated January 31, 2001 between Operator and Elizabethtown LLC and (ii) that certain Operation and Maintenance Agreement dated January 31, 2001 between Operator and Lumberton LLC, as the context may require.</w:t>
      </w:r>
    </w:p>
    <w:p>
      <w:pPr>
        <w:pStyle w:val="BodyTextFirstIndent"/>
        <w:rPr>
          <w:b/>
        </w:rPr>
      </w:pPr>
      <w:r>
        <w:rPr/>
        <w:t>“</w:t>
      </w:r>
      <w:r>
        <w:rPr>
          <w:i/>
        </w:rPr>
        <w:t>Operating Plan</w:t>
      </w:r>
      <w:r>
        <w:rPr/>
        <w:t>” is defined in the O&amp;M Agreement.</w:t>
      </w:r>
    </w:p>
    <w:p>
      <w:pPr>
        <w:pStyle w:val="BodyTextFirstIndent"/>
        <w:rPr>
          <w:b/>
          <w:color w:val="000000"/>
        </w:rPr>
      </w:pPr>
      <w:r>
        <w:rPr/>
        <w:t>“</w:t>
      </w:r>
      <w:r>
        <w:rPr>
          <w:i/>
        </w:rPr>
        <w:t>Operator</w:t>
      </w:r>
      <w:r>
        <w:rPr/>
        <w:t xml:space="preserve">” means G.L.C. Consulting Service Incorporated, a Florida corporation, and its successors and assigns. </w:t>
      </w:r>
    </w:p>
    <w:p>
      <w:pPr>
        <w:pStyle w:val="BodyTextFirstIndent"/>
        <w:rPr/>
      </w:pPr>
      <w:r>
        <w:rPr/>
        <w:t>“</w:t>
      </w:r>
      <w:r>
        <w:rPr>
          <w:i/>
        </w:rPr>
        <w:t>Owner Indemnified Parties</w:t>
      </w:r>
      <w:r>
        <w:rPr/>
        <w:t xml:space="preserve">” is defined in </w:t>
      </w:r>
      <w:r>
        <w:rPr>
          <w:u w:val="single"/>
        </w:rPr>
        <w:t>Section 7.1</w:t>
      </w:r>
      <w:r>
        <w:rPr/>
        <w:t>.</w:t>
      </w:r>
    </w:p>
    <w:p>
      <w:pPr>
        <w:pStyle w:val="BodyTextFirstIndent"/>
        <w:rPr/>
      </w:pPr>
      <w:r>
        <w:rPr/>
        <w:t>“</w:t>
      </w:r>
      <w:r>
        <w:rPr>
          <w:i/>
        </w:rPr>
        <w:t>Person</w:t>
      </w:r>
      <w:r>
        <w:rPr/>
        <w:t>” means any Governmental Authority or any individual, firm, partnership, corporation, limited liability company, joint venture, trust, unincorporated organization or other entity or organization.</w:t>
      </w:r>
    </w:p>
    <w:p>
      <w:pPr>
        <w:pStyle w:val="BodyTextFirstIndent"/>
        <w:rPr/>
      </w:pPr>
      <w:r>
        <w:rPr/>
        <w:t>“</w:t>
      </w:r>
      <w:r>
        <w:rPr>
          <w:i/>
        </w:rPr>
        <w:t>Planned Outage</w:t>
      </w:r>
      <w:r>
        <w:rPr/>
        <w:t>” means an partial or total outage due to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BodyTextFirstIndent"/>
        <w:rPr/>
      </w:pPr>
      <w:r>
        <w:rPr/>
        <w:t>“</w:t>
      </w:r>
      <w:r>
        <w:rPr>
          <w:i/>
        </w:rPr>
        <w:t>Products</w:t>
      </w:r>
      <w:r>
        <w:rPr/>
        <w:t>” means Energy, Capacity and Ancillary Services provided at or from the Facilities that may from time to time be sold under Transactions.</w:t>
      </w:r>
    </w:p>
    <w:p>
      <w:pPr>
        <w:pStyle w:val="BodyTextFirstIndent"/>
        <w:rPr/>
      </w:pPr>
      <w:r>
        <w:rPr/>
        <w:t>“</w:t>
      </w:r>
      <w:r>
        <w:rPr>
          <w:i/>
        </w:rPr>
        <w:t>Protocols</w:t>
      </w:r>
      <w:r>
        <w:rPr/>
        <w:t>” means the SERC Protocols [</w:t>
      </w:r>
      <w:r>
        <w:rPr>
          <w:b/>
          <w:i/>
        </w:rPr>
        <w:t>WHAT ABOUT ISO/RTO PROTOCOLS?</w:t>
      </w:r>
      <w:r>
        <w:rPr/>
        <w:t>] duly adopted by SERC, including any attachments or exhibits referenced thereby, as amended from time to time, containing the scheduling, operating, planning, reliability, and settlement (including customer registration) policies, rules, guidelines, procedures, standards, and criteria of SERC.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w:t>
      </w:r>
    </w:p>
    <w:p>
      <w:pPr>
        <w:pStyle w:val="BodyTextFirstIndent"/>
        <w:rPr/>
      </w:pPr>
      <w:r>
        <w:rPr/>
        <w:t>“</w:t>
      </w:r>
      <w:r>
        <w:rPr>
          <w:i/>
        </w:rPr>
        <w:t>Project Contracts</w:t>
      </w:r>
      <w:r>
        <w:rPr/>
        <w:t>”</w:t>
      </w:r>
      <w:r>
        <w:rPr>
          <w:i/>
        </w:rPr>
        <w:t xml:space="preserve"> </w:t>
      </w:r>
      <w:r>
        <w:rPr/>
        <w:t xml:space="preserve">means (i) Transaction Agreements, (ii) those contracts described on </w:t>
      </w:r>
      <w:r>
        <w:rPr>
          <w:u w:val="single"/>
        </w:rPr>
        <w:t>Exhibit A</w:t>
      </w:r>
      <w:r>
        <w:rPr/>
        <w:t xml:space="preserve"> attached hereto, as may be amended from time to time, and (iii) any additional agreements related to operation and maintenance of the Facilities.</w:t>
      </w:r>
    </w:p>
    <w:p>
      <w:pPr>
        <w:pStyle w:val="BodyTextFirstIndent"/>
        <w:rPr/>
      </w:pPr>
      <w:r>
        <w:rPr/>
        <w:t>“</w:t>
      </w:r>
      <w:r>
        <w:rPr>
          <w:i/>
        </w:rPr>
        <w:t>Prudent Marketing Practices</w:t>
      </w:r>
      <w:r>
        <w:rPr/>
        <w:t>” means, at a particular time, the performance of duties under this Agreement in such a manner as would be expected of a reasonably prudent asset manager in the power marketing industry acting for its own account.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the Protocols, the creditworthiness of trading counterparties, credit exposure to trading counterparties, outage schedules for the Facilities, maximizing Facility revenues, minimizing Facility costs, minimizing Marketing Expenses, the fixed and variable operating costs for the Facilities and the requirements of this Agreement.</w:t>
      </w:r>
    </w:p>
    <w:p>
      <w:pPr>
        <w:pStyle w:val="BodyTextFirstIndent"/>
        <w:rPr/>
      </w:pPr>
      <w:r>
        <w:rPr/>
        <w:t>“</w:t>
      </w:r>
      <w:r>
        <w:rPr>
          <w:i/>
        </w:rPr>
        <w:t>Representative</w:t>
      </w:r>
      <w:r>
        <w:rPr/>
        <w:t>”</w:t>
      </w:r>
      <w:r>
        <w:rPr>
          <w:i/>
        </w:rPr>
        <w:t xml:space="preserve"> </w:t>
      </w:r>
      <w:r>
        <w:rPr/>
        <w:t>means with respect to any Person or entity, any shareholder, officer, director, attorney, agent, contractor, subcontractor or other representative of such person or entity (except, in the case of Owner, Contractor and Subcontractors).</w:t>
      </w:r>
    </w:p>
    <w:p>
      <w:pPr>
        <w:pStyle w:val="BodyTextFirstIndent"/>
        <w:rPr/>
      </w:pPr>
      <w:r>
        <w:rPr/>
        <w:t>“</w:t>
      </w:r>
      <w:r>
        <w:rPr>
          <w:i/>
        </w:rPr>
        <w:t>RTO</w:t>
      </w:r>
      <w:r>
        <w:rPr/>
        <w:t>” means a Regional Transmission Organization pursuant to FERC Order 2000.</w:t>
      </w:r>
    </w:p>
    <w:p>
      <w:pPr>
        <w:pStyle w:val="BodyTextFirstIndent"/>
        <w:rPr/>
      </w:pPr>
      <w:r>
        <w:rPr/>
        <w:t>“</w:t>
      </w:r>
      <w:r>
        <w:rPr>
          <w:i/>
        </w:rPr>
        <w:t>Scheduled Outage</w:t>
      </w:r>
      <w:r>
        <w:rPr/>
        <w:t>” means any period, or extension of an initial period of time during which Products are not provided at the Facilities as a result of any operating condition of the Facilities known to Owner and communicated to Contractor in advance during which any maintenance, repair or other activity is required to permit the Facilities to be operated in accordance with its design or operational characteristics and includes Planned Outages.</w:t>
      </w:r>
    </w:p>
    <w:p>
      <w:pPr>
        <w:pStyle w:val="BodyTextFirstIndent"/>
        <w:rPr/>
      </w:pPr>
      <w:r>
        <w:rPr/>
        <w:t>“</w:t>
      </w:r>
      <w:r>
        <w:rPr>
          <w:i/>
        </w:rPr>
        <w:t>Securities Purchase Agreement</w:t>
      </w:r>
      <w:r>
        <w:rPr/>
        <w:t>” means that certain Securities Purchase Agreement dated [______] between ENA and Highstar.</w:t>
      </w:r>
    </w:p>
    <w:p>
      <w:pPr>
        <w:pStyle w:val="BodyTextFirstIndent"/>
        <w:rPr/>
      </w:pPr>
      <w:r>
        <w:rPr/>
        <w:t>“</w:t>
      </w:r>
      <w:r>
        <w:rPr>
          <w:i/>
        </w:rPr>
        <w:t>SERC</w:t>
      </w:r>
      <w:r>
        <w:rPr/>
        <w:t>”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BodyTextFirstIndent"/>
        <w:rPr/>
      </w:pPr>
      <w:r>
        <w:rPr/>
        <w:t>“</w:t>
      </w:r>
      <w:r>
        <w:rPr>
          <w:i/>
        </w:rPr>
        <w:t>Services</w:t>
      </w:r>
      <w:r>
        <w:rPr/>
        <w:t>”</w:t>
      </w:r>
      <w:r>
        <w:rPr>
          <w:i/>
        </w:rPr>
        <w:t xml:space="preserve"> </w:t>
      </w:r>
      <w:r>
        <w:rPr/>
        <w:t xml:space="preserve">is defined in </w:t>
      </w:r>
      <w:r>
        <w:rPr>
          <w:u w:val="single"/>
        </w:rPr>
        <w:t>Section 2.1</w:t>
      </w:r>
      <w:r>
        <w:rPr/>
        <w:t>.</w:t>
      </w:r>
    </w:p>
    <w:p>
      <w:pPr>
        <w:pStyle w:val="BodyTextFirstIndent"/>
        <w:rPr/>
      </w:pPr>
      <w:r>
        <w:rPr/>
        <w:t>“</w:t>
      </w:r>
      <w:r>
        <w:rPr>
          <w:i/>
        </w:rPr>
        <w:t>Structured Transaction</w:t>
      </w:r>
      <w:r>
        <w:rPr/>
        <w:t>” means any Transaction other than a Contractor Transaction.</w:t>
      </w:r>
    </w:p>
    <w:p>
      <w:pPr>
        <w:pStyle w:val="BodyTextFirstIndent"/>
        <w:rPr/>
      </w:pPr>
      <w:r>
        <w:rPr/>
        <w:t>“</w:t>
      </w:r>
      <w:r>
        <w:rPr>
          <w:i/>
        </w:rPr>
        <w:t>Subcontract</w:t>
      </w:r>
      <w:r>
        <w:rPr/>
        <w:t>”</w:t>
      </w:r>
      <w:r>
        <w:rPr>
          <w:i/>
        </w:rPr>
        <w:t xml:space="preserve"> </w:t>
      </w:r>
      <w:r>
        <w:rPr/>
        <w:t>shall mean any contract for the supply of goods, work, materials or equipment in connection with the Services provided hereunder entered into between the Contractor and any Subcontractor.</w:t>
      </w:r>
    </w:p>
    <w:p>
      <w:pPr>
        <w:pStyle w:val="BodyTextFirstIndent"/>
        <w:rPr/>
      </w:pPr>
      <w:r>
        <w:rPr/>
        <w:t>“</w:t>
      </w:r>
      <w:r>
        <w:rPr>
          <w:i/>
        </w:rPr>
        <w:t>Subcontractor</w:t>
      </w:r>
      <w:r>
        <w:rPr/>
        <w:t>”</w:t>
      </w:r>
      <w:r>
        <w:rPr>
          <w:i/>
        </w:rPr>
        <w:t xml:space="preserve"> </w:t>
      </w:r>
      <w:r>
        <w:rPr/>
        <w:t>shall mean any Person party to a Subcontract with Contractor.</w:t>
      </w:r>
    </w:p>
    <w:p>
      <w:pPr>
        <w:pStyle w:val="BodyTextFirstIndent"/>
        <w:rPr/>
      </w:pPr>
      <w:r>
        <w:rPr/>
        <w:t>“</w:t>
      </w:r>
      <w:r>
        <w:rPr>
          <w:i/>
        </w:rPr>
        <w:t>Term</w:t>
      </w:r>
      <w:r>
        <w:rPr/>
        <w:t>”</w:t>
      </w:r>
      <w:r>
        <w:rPr>
          <w:i/>
        </w:rPr>
        <w:t xml:space="preserve"> </w:t>
      </w:r>
      <w:r>
        <w:rPr/>
        <w:t xml:space="preserve">is defined in </w:t>
      </w:r>
      <w:r>
        <w:rPr>
          <w:u w:val="single"/>
        </w:rPr>
        <w:t>Section 5.1</w:t>
      </w:r>
      <w:r>
        <w:rPr/>
        <w:t>.</w:t>
      </w:r>
    </w:p>
    <w:p>
      <w:pPr>
        <w:pStyle w:val="BodyTextFirstIndent"/>
        <w:rPr/>
      </w:pPr>
      <w:r>
        <w:rPr/>
        <w:t>“</w:t>
      </w:r>
      <w:r>
        <w:rPr>
          <w:i/>
        </w:rPr>
        <w:t>Transaction</w:t>
      </w:r>
      <w:r>
        <w:rPr/>
        <w:t>” means any arrangement with any Party, including Contractor, for the sale of any Product.</w:t>
      </w:r>
    </w:p>
    <w:p>
      <w:pPr>
        <w:pStyle w:val="BodyTextFirstIndent"/>
        <w:rPr/>
      </w:pPr>
      <w:r>
        <w:rPr/>
        <w:t>“</w:t>
      </w:r>
      <w:r>
        <w:rPr>
          <w:i/>
        </w:rPr>
        <w:t>Transaction Agreement</w:t>
      </w:r>
      <w:r>
        <w:rPr/>
        <w:t xml:space="preserve">” shall have the meaning set forth in </w:t>
      </w:r>
      <w:r>
        <w:rPr>
          <w:u w:val="single"/>
        </w:rPr>
        <w:t>Section 3.2</w:t>
      </w:r>
      <w:r>
        <w:rPr/>
        <w:t xml:space="preserve">. </w:t>
      </w:r>
      <w:r>
        <w:rPr>
          <w:u w:val="single"/>
        </w:rPr>
        <w:t xml:space="preserve"> </w:t>
      </w:r>
    </w:p>
    <w:p>
      <w:pPr>
        <w:pStyle w:val="BodyTextFirstIndent"/>
        <w:rPr/>
      </w:pPr>
      <w:r>
        <w:rPr/>
        <w:t>“</w:t>
      </w:r>
      <w:r>
        <w:rPr>
          <w:i/>
        </w:rPr>
        <w:t>Transaction Document</w:t>
      </w:r>
      <w:r>
        <w:rPr/>
        <w:t>” is defined in the Securities Purchase Agreement.</w:t>
      </w:r>
    </w:p>
    <w:p>
      <w:pPr>
        <w:pStyle w:val="BodyTextFirstIndent"/>
        <w:rPr/>
      </w:pPr>
      <w:r>
        <w:rPr/>
        <w:t>“</w:t>
      </w:r>
      <w:r>
        <w:rPr>
          <w:i/>
        </w:rPr>
        <w:t>Transmission Provider</w:t>
      </w:r>
      <w:r>
        <w:rPr/>
        <w:t>” means the entity or entities transmitting Energy on behalf of Owner prior to and at the Delivery Point for a Transaction.</w:t>
      </w:r>
    </w:p>
    <w:p>
      <w:pPr>
        <w:pStyle w:val="Legal2L2"/>
        <w:numPr>
          <w:ilvl w:val="1"/>
          <w:numId w:val="3"/>
        </w:numPr>
        <w:ind w:hanging="0" w:start="0"/>
        <w:rPr>
          <w:vanish/>
          <w:color w:val="FF0000"/>
        </w:rPr>
      </w:pPr>
      <w:bookmarkStart w:id="3" w:name="__RefHeading___Toc513389482"/>
      <w:r>
        <w:rPr/>
        <w:t>Interpretation</w:t>
      </w:r>
      <w:r>
        <w:rPr>
          <w:u w:val="none"/>
        </w:rPr>
        <w:t>.</w:t>
      </w:r>
      <w:bookmarkEnd w:id="3"/>
      <w:r>
        <w:rPr>
          <w:u w:val="none"/>
        </w:rPr>
        <w:t xml:space="preserve">  </w:t>
      </w:r>
    </w:p>
    <w:p>
      <w:pPr>
        <w:pStyle w:val="BodyText"/>
        <w:rPr/>
      </w:pPr>
      <w:r>
        <w:rPr/>
        <w:t>In this Agreement:</w:t>
      </w:r>
    </w:p>
    <w:p>
      <w:pPr>
        <w:pStyle w:val="Legal2L3"/>
        <w:numPr>
          <w:ilvl w:val="2"/>
          <w:numId w:val="3"/>
        </w:numPr>
        <w:ind w:hanging="0" w:start="0"/>
        <w:rPr/>
      </w:pPr>
      <w:r>
        <w:rPr/>
        <w:t>references in the singular shall include references in the plural and vice versa and words denoting natural persons shall include partnerships, firms, companies, corporations, joint ventures, trusts, associations, organizations or other entities;</w:t>
      </w:r>
    </w:p>
    <w:p>
      <w:pPr>
        <w:pStyle w:val="Legal2L3"/>
        <w:numPr>
          <w:ilvl w:val="2"/>
          <w:numId w:val="3"/>
        </w:numPr>
        <w:ind w:hanging="0" w:start="0"/>
        <w:rPr/>
      </w:pPr>
      <w:r>
        <w:rPr/>
        <w:t>references to a particular article, section or sub-section shall, except where the context otherwise requires, be a reference to that article, section or sub-section in this Agreement;</w:t>
      </w:r>
    </w:p>
    <w:p>
      <w:pPr>
        <w:pStyle w:val="Legal2L3"/>
        <w:numPr>
          <w:ilvl w:val="2"/>
          <w:numId w:val="3"/>
        </w:numPr>
        <w:ind w:hanging="0" w:start="0"/>
        <w:rPr/>
      </w:pPr>
      <w:r>
        <w:rPr/>
        <w:t>the headings are inserted for convenience and are to be ignored for the purposes of construction;</w:t>
      </w:r>
    </w:p>
    <w:p>
      <w:pPr>
        <w:pStyle w:val="Legal2L3"/>
        <w:numPr>
          <w:ilvl w:val="2"/>
          <w:numId w:val="3"/>
        </w:numPr>
        <w:ind w:hanging="0" w:start="0"/>
        <w:rPr/>
      </w:pPr>
      <w:r>
        <w:rPr/>
        <w:t>the words “include” and “including” are to be construed without limitation;</w:t>
      </w:r>
    </w:p>
    <w:p>
      <w:pPr>
        <w:pStyle w:val="Legal2L3"/>
        <w:numPr>
          <w:ilvl w:val="2"/>
          <w:numId w:val="3"/>
        </w:numPr>
        <w:ind w:hanging="0" w:start="0"/>
        <w:rPr/>
      </w:pPr>
      <w:r>
        <w:rPr/>
        <w:t>any reference to any agreement, deed, instrument, license, code or other document of any description shall be construed at the particular time, as a reference to that agreement, deed, instrument, license, code or other document as the same may then have been amended, varied, supplemented, modified, suspended or novated.</w:t>
      </w:r>
    </w:p>
    <w:p>
      <w:pPr>
        <w:pStyle w:val="Legal2L3"/>
        <w:numPr>
          <w:ilvl w:val="0"/>
          <w:numId w:val="0"/>
        </w:numPr>
        <w:ind w:hanging="0" w:start="0"/>
        <w:rPr/>
      </w:pPr>
      <w:r>
        <w:rPr/>
      </w:r>
    </w:p>
    <w:p>
      <w:pPr>
        <w:pStyle w:val="Legal2L1"/>
        <w:numPr>
          <w:ilvl w:val="0"/>
          <w:numId w:val="3"/>
        </w:numPr>
        <w:ind w:hanging="0" w:start="0"/>
        <w:rPr/>
      </w:pPr>
      <w:bookmarkStart w:id="4" w:name="__RefHeading___Toc513389483"/>
      <w:bookmarkEnd w:id="4"/>
      <w:r>
        <w:rPr/>
        <w:t>Obligations of the Parties</w:t>
      </w:r>
    </w:p>
    <w:p>
      <w:pPr>
        <w:pStyle w:val="Legal2L2"/>
        <w:numPr>
          <w:ilvl w:val="1"/>
          <w:numId w:val="3"/>
        </w:numPr>
        <w:ind w:hanging="0" w:start="0"/>
        <w:rPr>
          <w:vanish/>
          <w:color w:val="FF0000"/>
        </w:rPr>
      </w:pPr>
      <w:bookmarkStart w:id="5" w:name="__RefHeading___Toc513389484"/>
      <w:r>
        <w:rPr/>
        <w:t>Engagement of Contractor</w:t>
      </w:r>
      <w:r>
        <w:rPr>
          <w:u w:val="none"/>
        </w:rPr>
        <w:t>.  Owner hereby appoints and retains Contractor to provide those services described herein</w:t>
      </w:r>
      <w:bookmarkEnd w:id="5"/>
      <w:r>
        <w:rPr>
          <w:u w:val="none"/>
        </w:rPr>
        <w:t xml:space="preserve"> </w:t>
      </w:r>
    </w:p>
    <w:p>
      <w:pPr>
        <w:pStyle w:val="BodyText"/>
        <w:rPr/>
      </w:pPr>
      <w:r>
        <w:rPr/>
        <w:t>required to support the day-to-day management and operation of the Business and Facilities for and on behalf of Owner and to perform such other tasks and duties as described herein, on the terms and conditions set forth herein (collectively, the “</w:t>
      </w:r>
      <w:r>
        <w:rPr>
          <w:i/>
        </w:rPr>
        <w:t>Services</w:t>
      </w:r>
      <w:r>
        <w:rPr/>
        <w:t xml:space="preserve">”), excluding any responsibilities delegated to the Operator under any agreement relating to the Facilities to which Operator is a party.  The Contractor hereby accepts such appointment and agrees to perform the Services in a safe, economical, efficient and professional manner in accordance with the terms and conditions of this Agreement and in accordance with the directives and policies which Owner may establish from time to time. </w:t>
      </w:r>
    </w:p>
    <w:p>
      <w:pPr>
        <w:pStyle w:val="Legal2L2"/>
        <w:numPr>
          <w:ilvl w:val="1"/>
          <w:numId w:val="3"/>
        </w:numPr>
        <w:ind w:hanging="0" w:start="0"/>
        <w:rPr/>
      </w:pPr>
      <w:bookmarkStart w:id="6" w:name="__RefHeading___Toc513389485"/>
      <w:bookmarkEnd w:id="6"/>
      <w:r>
        <w:rPr/>
        <w:t>Services</w:t>
      </w:r>
      <w:r>
        <w:rPr>
          <w:u w:val="none"/>
        </w:rPr>
        <w:t xml:space="preserve">.  Subject to the limitations on Contractor’s authority set forth in </w:t>
      </w:r>
      <w:r>
        <w:rPr/>
        <w:t>Section 2.4</w:t>
      </w:r>
      <w:r>
        <w:rPr>
          <w:u w:val="none"/>
        </w:rPr>
        <w:t xml:space="preserve"> below, Contractor shall perform on behalf of Owner the following services:</w:t>
      </w:r>
    </w:p>
    <w:p>
      <w:pPr>
        <w:pStyle w:val="BodyText"/>
        <w:ind w:firstLine="720" w:end="0"/>
        <w:rPr/>
      </w:pPr>
      <w:r>
        <w:rPr/>
        <w:t xml:space="preserve">(a) </w:t>
        <w:tab/>
      </w:r>
      <w:r>
        <w:rPr>
          <w:i/>
        </w:rPr>
        <w:t>Administration of Project Contracts</w:t>
      </w:r>
      <w:r>
        <w:rPr/>
        <w:t xml:space="preserve">.  Contractor shall advise Owner with respect to all of Owner’s obligations and responsibilities under the Project Contracts. Contractor shall be responsible for supervising, communicating and coordinating with the Operator under the O&amp;M Agreements with respect to matters arising thereunder, including with respect to the submission of notices (including Dispatch Notices), certificates and other documents as and when required on behalf of Owner thereunder (except where prohibited by </w:t>
      </w:r>
      <w:r>
        <w:rPr>
          <w:u w:val="single"/>
        </w:rPr>
        <w:t>Section 2.4</w:t>
      </w:r>
      <w:r>
        <w:rPr/>
        <w:t xml:space="preserve"> of this Agreement).  </w:t>
      </w:r>
    </w:p>
    <w:p>
      <w:pPr>
        <w:pStyle w:val="BodyText"/>
        <w:ind w:firstLine="720" w:end="0"/>
        <w:rPr/>
      </w:pPr>
      <w:r>
        <w:rPr/>
        <w:t xml:space="preserve">(b) </w:t>
        <w:tab/>
      </w:r>
      <w:r>
        <w:rPr>
          <w:i/>
        </w:rPr>
        <w:t>Billing and Collection</w:t>
      </w:r>
      <w:r>
        <w:rPr/>
        <w:t>.  Contractor shall implement and maintain billing and collection procedures in respect of all accounts receivable and accounts payable under each of the Project Contracts.</w:t>
      </w:r>
    </w:p>
    <w:p>
      <w:pPr>
        <w:pStyle w:val="BodyText"/>
        <w:ind w:firstLine="720" w:end="0"/>
        <w:rPr/>
      </w:pPr>
      <w:r>
        <w:rPr/>
        <w:t>(c)</w:t>
        <w:tab/>
      </w:r>
      <w:r>
        <w:rPr>
          <w:i/>
        </w:rPr>
        <w:t>Budgets and Plans</w:t>
      </w:r>
      <w:r>
        <w:rPr/>
        <w:t>.  Contractor shall advise and assist Owner in receiving, commenting on, approving, preparing and submitting all budgets, operating plans, fuel plans and other such materials (including Budgets, Operating Plans and Maintenance Programs) as may be necessary for the operation and maintenance of the Facilities.</w:t>
      </w:r>
    </w:p>
    <w:p>
      <w:pPr>
        <w:pStyle w:val="BodyText"/>
        <w:ind w:firstLine="720" w:end="0"/>
        <w:rPr/>
      </w:pPr>
      <w:r>
        <w:rPr/>
        <w:t xml:space="preserve">(d)  </w:t>
        <w:tab/>
      </w:r>
      <w:r>
        <w:rPr>
          <w:i/>
        </w:rPr>
        <w:t>Bank Accounts</w:t>
      </w:r>
      <w:r>
        <w:rPr/>
        <w:t>.  Contractor shall establish and maintain on behalf of and in the name of [Elizabethtown LLC and Lumberton LLC][NCPH] one or more bank accounts as may be convenient in connection with the business of Owner relating to the Facilities.</w:t>
      </w:r>
    </w:p>
    <w:p>
      <w:pPr>
        <w:pStyle w:val="BodyText"/>
        <w:ind w:firstLine="720" w:end="0"/>
        <w:rPr/>
      </w:pPr>
      <w:r>
        <w:rPr/>
        <w:t>(e)</w:t>
        <w:tab/>
      </w:r>
      <w:r>
        <w:rPr>
          <w:i/>
        </w:rPr>
        <w:t>Accounting and Documentation</w:t>
      </w:r>
      <w:r>
        <w:rPr/>
        <w:t>.  Contractor shall provide, in a format approved by Owner, full bookkeeping and accounting services for the Owner.  Contractor shall coordinate, on behalf of Owner, with the certified public accounting firm retained by Owner to perform annual audit and tax services. [</w:t>
      </w:r>
      <w:r>
        <w:rPr>
          <w:b/>
          <w:i/>
        </w:rPr>
        <w:t>DISCUSS CONTRACTOR AS COMPTROLLER UNDER O&amp;M.</w:t>
      </w:r>
      <w:r>
        <w:rPr/>
        <w:t>]</w:t>
      </w:r>
    </w:p>
    <w:p>
      <w:pPr>
        <w:pStyle w:val="BodyText"/>
        <w:ind w:firstLine="720" w:end="0"/>
        <w:rPr/>
      </w:pPr>
      <w:r>
        <w:rPr/>
        <w:t>(f)</w:t>
        <w:tab/>
      </w:r>
      <w:r>
        <w:rPr>
          <w:i/>
        </w:rPr>
        <w:t>Insurance</w:t>
      </w:r>
      <w:r>
        <w:rPr/>
        <w:t>.</w:t>
        <w:tab/>
        <w:t xml:space="preserve">Contractor shall administer Owner’s insurance program with respect to the Business and otherwise with respect to the Facilities, including supervising the procurement and negotiation of policies and the adjustment and administration of claims. </w:t>
      </w:r>
    </w:p>
    <w:p>
      <w:pPr>
        <w:pStyle w:val="BodyText"/>
        <w:ind w:firstLine="720" w:end="0"/>
        <w:rPr/>
      </w:pPr>
      <w:r>
        <w:rPr/>
        <w:t>(g)</w:t>
        <w:tab/>
      </w:r>
      <w:r>
        <w:rPr>
          <w:i/>
        </w:rPr>
        <w:t>Licenses and Permits</w:t>
      </w:r>
      <w:r>
        <w:rPr/>
        <w:t>.  At the request of Owner, Contractor shall assist Owner in making any necessary filings and registrations and in obtaining any registrations, permits, licenses and other government approvals required to be obtained, modified or renewed by Owner in connection with the Business and otherwise with respect to the operation and maintenance of the Facilities.</w:t>
      </w:r>
    </w:p>
    <w:p>
      <w:pPr>
        <w:pStyle w:val="BodyText"/>
        <w:ind w:firstLine="720" w:end="0"/>
        <w:rPr/>
      </w:pPr>
      <w:r>
        <w:rPr/>
        <w:t>(h)</w:t>
        <w:tab/>
      </w:r>
      <w:r>
        <w:rPr>
          <w:i/>
        </w:rPr>
        <w:t>Additional Assistance</w:t>
      </w:r>
      <w:r>
        <w:rPr/>
        <w:t>.  At the request of Owner, Contractor shall furnish Owner with additional assistance and support consistent with the general scope of the Services hereunder.</w:t>
      </w:r>
    </w:p>
    <w:p>
      <w:pPr>
        <w:pStyle w:val="BodyText"/>
        <w:ind w:firstLine="720" w:end="0"/>
        <w:rPr/>
      </w:pPr>
      <w:r>
        <w:rPr/>
        <w:t>Notwithstanding any other provision hereof, Contractor shall: (i) have no obligation in connection with the performance of the Services to advance funds for the account of the Owner or to pay any amounts owed by Owner under the Project Contracts or otherwise, (ii) not be responsible for the First Contingency Emergency Dispatch provisions of the Protocols and pursuant to the Interconnection Agreements, and (iii) have no obligation to offer to purchase any Products.</w:t>
      </w:r>
    </w:p>
    <w:p>
      <w:pPr>
        <w:pStyle w:val="Legal2L2"/>
        <w:numPr>
          <w:ilvl w:val="1"/>
          <w:numId w:val="3"/>
        </w:numPr>
        <w:ind w:hanging="0" w:start="0"/>
        <w:rPr>
          <w:vanish/>
          <w:color w:val="FF0000"/>
        </w:rPr>
      </w:pPr>
      <w:bookmarkStart w:id="7" w:name="__RefHeading___Toc513389486"/>
      <w:r>
        <w:rPr/>
        <w:t>Obligations of Owner</w:t>
      </w:r>
      <w:r>
        <w:rPr>
          <w:u w:val="none"/>
        </w:rPr>
        <w:t>.</w:t>
      </w:r>
      <w:bookmarkEnd w:id="7"/>
      <w:r>
        <w:rPr>
          <w:u w:val="none"/>
        </w:rPr>
        <w:t xml:space="preserve"> </w:t>
      </w:r>
    </w:p>
    <w:p>
      <w:pPr>
        <w:pStyle w:val="BodyText"/>
        <w:rPr/>
      </w:pPr>
      <w:r>
        <w:rPr/>
        <w:t>The Owner (and only Owner) shall remain responsible for: (a) making any major management decisions required of the Owner with respect to the operation of the Facilities and the Project Contracts; (b) at the request of Contractor and to the extent within its reasonable control, providing Contractor with reasonably sufficient information and adequate notice concerning events and other operating conditions and activities necessary to permit Contractor to carry out its obligations under this Agreement; (c) authorizing (in its discretion) and executing all agreements, contracts, and other documents in connection with its business required to be executed by Owner pursuant to the terms hereof; and (d) performing such other duties and obligations of Owner as are expressly set forth in this Agreement; provided that Owner shall at all times maintain ultimate control over its Business and operations.</w:t>
      </w:r>
    </w:p>
    <w:p>
      <w:pPr>
        <w:pStyle w:val="Legal2L2"/>
        <w:numPr>
          <w:ilvl w:val="1"/>
          <w:numId w:val="3"/>
        </w:numPr>
        <w:ind w:hanging="0" w:start="0"/>
        <w:rPr>
          <w:vanish/>
          <w:color w:val="FF0000"/>
        </w:rPr>
      </w:pPr>
      <w:bookmarkStart w:id="8" w:name="__RefHeading___Toc513389487"/>
      <w:r>
        <w:rPr/>
        <w:t>Limitation of Contractor</w:t>
      </w:r>
      <w:r>
        <w:rPr>
          <w:u w:val="none"/>
        </w:rPr>
        <w:t>.</w:t>
      </w:r>
      <w:bookmarkEnd w:id="8"/>
      <w:r>
        <w:rPr>
          <w:u w:val="none"/>
        </w:rPr>
        <w:t xml:space="preserve"> </w:t>
      </w:r>
    </w:p>
    <w:p>
      <w:pPr>
        <w:pStyle w:val="BodyText"/>
        <w:rPr/>
      </w:pPr>
      <w:r>
        <w:rPr/>
        <w:t>Notwithstanding anything in this Agreement, unless approved by the Owner in writing, Contractor shall have no authority to and shall not (and shall not permit any of its Representatives to):</w:t>
      </w:r>
    </w:p>
    <w:p>
      <w:pPr>
        <w:pStyle w:val="Legal2L3"/>
        <w:numPr>
          <w:ilvl w:val="2"/>
          <w:numId w:val="3"/>
        </w:numPr>
        <w:ind w:hanging="0" w:start="0"/>
        <w:rPr/>
      </w:pPr>
      <w:r>
        <w:rPr/>
        <w:t>except (as to the Contractor) with respect to disputes between Owner and Contractor under this Agreement, settle, compromise, assign, pledge, transfer, release, waive or consent to do the same with respect to any claim, suit, debt, demand or judgment against or due from or by Owner, or submit any such claim, dispute or controversy to arbitration or judicial process, or stipulate to a judgment in respect thereof or consent to do the same;</w:t>
      </w:r>
    </w:p>
    <w:p>
      <w:pPr>
        <w:pStyle w:val="Legal2L3"/>
        <w:numPr>
          <w:ilvl w:val="2"/>
          <w:numId w:val="3"/>
        </w:numPr>
        <w:ind w:hanging="0" w:start="0"/>
        <w:rPr/>
      </w:pPr>
      <w:r>
        <w:rPr/>
        <w:t>sell, lease, pledge, mortgage, encumber, convey, license, exchange or make any other transfer, assignment or disposition of any property or assets of Owner other than in accordance with a Transaction;</w:t>
      </w:r>
    </w:p>
    <w:p>
      <w:pPr>
        <w:pStyle w:val="Legal2L3"/>
        <w:numPr>
          <w:ilvl w:val="2"/>
          <w:numId w:val="3"/>
        </w:numPr>
        <w:ind w:hanging="0" w:start="0"/>
        <w:rPr/>
      </w:pPr>
      <w:r>
        <w:rPr/>
        <w:t>make, enter into, execute, amend, modify, supplement or terminate any contract or agreement on behalf of or in the name of  Owner, except as otherwise provided in clause (d) below;</w:t>
      </w:r>
    </w:p>
    <w:p>
      <w:pPr>
        <w:pStyle w:val="Legal2L3"/>
        <w:numPr>
          <w:ilvl w:val="2"/>
          <w:numId w:val="3"/>
        </w:numPr>
        <w:ind w:hanging="0" w:start="0"/>
        <w:rPr/>
      </w:pPr>
      <w:r>
        <w:rPr/>
        <w:t>make, incur or commit to any expenditure on behalf of Owner, other than in accordance with the applicable Budget, which is in excess of $[_______] per transaction or $[__________] in any calendar year or which involves an undertaking or commitment on the part of Owner extending beyond  a term of thirty (30) days;</w:t>
      </w:r>
    </w:p>
    <w:p>
      <w:pPr>
        <w:pStyle w:val="Legal2L3"/>
        <w:numPr>
          <w:ilvl w:val="2"/>
          <w:numId w:val="3"/>
        </w:numPr>
        <w:ind w:hanging="0" w:start="0"/>
        <w:rPr/>
      </w:pPr>
      <w:r>
        <w:rPr/>
        <w:t>borrow any money on behalf of or in the name of Owner, utilize Owner’s property as security for loans, obligate Owner as guarantor, endorser, surety or accommodation party, or otherwise pledge the credit of Owner in any way [other than in accordance with Transactions];</w:t>
      </w:r>
    </w:p>
    <w:p>
      <w:pPr>
        <w:pStyle w:val="Legal2L3"/>
        <w:numPr>
          <w:ilvl w:val="2"/>
          <w:numId w:val="3"/>
        </w:numPr>
        <w:ind w:hanging="0" w:start="0"/>
        <w:rPr/>
      </w:pPr>
      <w:r>
        <w:rPr/>
        <w:t>lend any money, or extend any credit, on behalf of or in the name of Owner in any way, other than in accordance with Transactions;</w:t>
      </w:r>
    </w:p>
    <w:p>
      <w:pPr>
        <w:pStyle w:val="Legal2L3"/>
        <w:numPr>
          <w:ilvl w:val="2"/>
          <w:numId w:val="3"/>
        </w:numPr>
        <w:ind w:hanging="0" w:start="0"/>
        <w:rPr/>
      </w:pPr>
      <w:r>
        <w:rPr/>
        <w:t>approve any Budget, Operating Plan or Maintenance Program or amendments, modifications or supplements thereto; or</w:t>
      </w:r>
    </w:p>
    <w:p>
      <w:pPr>
        <w:pStyle w:val="Legal2L3"/>
        <w:numPr>
          <w:ilvl w:val="2"/>
          <w:numId w:val="3"/>
        </w:numPr>
        <w:ind w:hanging="0" w:start="0"/>
        <w:rPr/>
      </w:pPr>
      <w:r>
        <w:rPr/>
        <w:t xml:space="preserve">take or claim title to the Facilities or any part thereof. </w:t>
      </w:r>
    </w:p>
    <w:p>
      <w:pPr>
        <w:pStyle w:val="Legal2L2"/>
        <w:numPr>
          <w:ilvl w:val="1"/>
          <w:numId w:val="3"/>
        </w:numPr>
        <w:ind w:hanging="0" w:start="0"/>
        <w:rPr>
          <w:vanish/>
          <w:color w:val="FF0000"/>
        </w:rPr>
      </w:pPr>
      <w:bookmarkStart w:id="9" w:name="__RefHeading___Toc513389488"/>
      <w:r>
        <w:rPr/>
        <w:t>Right to Subcontract Services</w:t>
      </w:r>
      <w:r>
        <w:rPr>
          <w:u w:val="none"/>
        </w:rPr>
        <w:t>.</w:t>
      </w:r>
      <w:bookmarkEnd w:id="9"/>
      <w:r>
        <w:rPr>
          <w:u w:val="none"/>
        </w:rPr>
        <w:t xml:space="preserve"> </w:t>
      </w:r>
    </w:p>
    <w:p>
      <w:pPr>
        <w:pStyle w:val="BodyText"/>
        <w:rPr/>
      </w:pPr>
      <w:r>
        <w:rPr/>
        <w:t xml:space="preserve">Owner acknowledges that (a) Contractor may not be the sole providers of the Services, and (b) Contractor may use third party Subcontractors to perform many of the Services; provided, however, that the use of such Subcontractors: (i) shall be at Contractor’s sole cost and expense [(except to the extent such expenses are to be reimbursed by Owner hereunder)]; and (ii) shall not relieve Contractor from liability to Owner for the performance of all obligations required by the terms of this Agreement.  </w:t>
      </w:r>
    </w:p>
    <w:p>
      <w:pPr>
        <w:pStyle w:val="Legal2L2"/>
        <w:numPr>
          <w:ilvl w:val="1"/>
          <w:numId w:val="3"/>
        </w:numPr>
        <w:ind w:hanging="0" w:start="0"/>
        <w:rPr>
          <w:vanish/>
          <w:color w:val="FF0000"/>
        </w:rPr>
      </w:pPr>
      <w:r>
        <w:rPr/>
        <w:t>NCPH to Act as Owner</w:t>
      </w:r>
      <w:r>
        <w:rPr>
          <w:u w:val="none"/>
        </w:rPr>
        <w:t>. Contractor</w:t>
      </w:r>
    </w:p>
    <w:p>
      <w:pPr>
        <w:pStyle w:val="BodyText"/>
        <w:rPr/>
      </w:pPr>
      <w:r>
        <w:rPr/>
        <w:t xml:space="preserve"> </w:t>
      </w:r>
      <w:r>
        <w:rPr/>
        <w:t xml:space="preserve">acknowledges that, notwithstanding anything herein to the contrary, NCPH shall have the right to act as and for Owner without requiring any discussion, consultation or other input from Elizabethtown LLC or Lumberton LLC. </w:t>
      </w:r>
    </w:p>
    <w:p>
      <w:pPr>
        <w:pStyle w:val="BodyText"/>
        <w:rPr/>
      </w:pPr>
      <w:r>
        <w:rPr/>
        <w:t>[</w:t>
      </w:r>
      <w:r>
        <w:rPr>
          <w:b/>
          <w:i/>
        </w:rPr>
        <w:t>DISCUSS ARTICLE III.</w:t>
      </w:r>
      <w:r>
        <w:rPr/>
        <w:t>]</w:t>
      </w:r>
    </w:p>
    <w:p>
      <w:pPr>
        <w:pStyle w:val="BodyText"/>
        <w:rPr/>
      </w:pPr>
      <w:r>
        <w:rPr/>
      </w:r>
    </w:p>
    <w:p>
      <w:pPr>
        <w:pStyle w:val="Legal2L1"/>
        <w:numPr>
          <w:ilvl w:val="0"/>
          <w:numId w:val="3"/>
        </w:numPr>
        <w:ind w:hanging="0" w:start="0"/>
        <w:rPr>
          <w:u w:val="none"/>
        </w:rPr>
      </w:pPr>
      <w:bookmarkStart w:id="10" w:name="__RefHeading___Toc513389489"/>
      <w:bookmarkEnd w:id="10"/>
      <w:r>
        <w:rPr/>
        <w:t>Marketing of Products</w:t>
      </w:r>
      <w:r>
        <w:rPr>
          <w:u w:val="none"/>
        </w:rPr>
        <w:t>.</w:t>
      </w:r>
    </w:p>
    <w:p>
      <w:pPr>
        <w:pStyle w:val="Legal2L2"/>
        <w:numPr>
          <w:ilvl w:val="1"/>
          <w:numId w:val="3"/>
        </w:numPr>
        <w:ind w:hanging="0" w:start="0"/>
        <w:rPr>
          <w:vanish/>
          <w:color w:val="FF0000"/>
        </w:rPr>
      </w:pPr>
      <w:bookmarkStart w:id="11" w:name="__RefHeading___Toc513389490"/>
      <w:r>
        <w:rPr/>
        <w:t>Availability of Products</w:t>
      </w:r>
      <w:r>
        <w:rPr>
          <w:u w:val="none"/>
        </w:rPr>
        <w:t>.</w:t>
      </w:r>
      <w:bookmarkEnd w:id="11"/>
      <w:r>
        <w:rPr>
          <w:u w:val="none"/>
        </w:rPr>
        <w:t xml:space="preserve"> </w:t>
      </w:r>
    </w:p>
    <w:p>
      <w:pPr>
        <w:pStyle w:val="Legal2L3"/>
        <w:numPr>
          <w:ilvl w:val="0"/>
          <w:numId w:val="0"/>
        </w:numPr>
        <w:ind w:hanging="0" w:start="0"/>
        <w:rPr>
          <w:vanish/>
          <w:color w:val="FF0000"/>
        </w:rPr>
      </w:pPr>
      <w:r>
        <w:rPr/>
        <w:t xml:space="preserve"> </w:t>
      </w:r>
      <w:r>
        <w:rPr/>
        <w:t xml:space="preserve">Owner hereby appoints and authorizes Contractor as its limited, exclusive agent, to take actions necessary to market and sell the Products, and Contractor accepts such appointment; provided, however, such appointment is a limited agency wherein the duties of Contractor are specifically limited to the subject matter hereof and will not create or result in the imposition on Contractor of any other duties of any kind, including without limitation any duties that otherwise may arise by operation of law. Owner agrees to make available to Contractor all Products then available from the Facilities and not otherwise committed to Transactions for the purpose of permitting Contractor to market such Products, and Contractor agrees to market and sell Products in accordance with Prudent Marketing Practices. </w:t>
      </w:r>
    </w:p>
    <w:p>
      <w:pPr>
        <w:pStyle w:val="Legal2L3"/>
        <w:numPr>
          <w:ilvl w:val="0"/>
          <w:numId w:val="0"/>
        </w:numPr>
        <w:ind w:hanging="0" w:start="0"/>
        <w:rPr>
          <w:vanish/>
          <w:color w:val="FF0000"/>
        </w:rPr>
      </w:pPr>
      <w:r>
        <w:rPr>
          <w:vanish/>
          <w:color w:val="FF0000"/>
        </w:rPr>
      </w:r>
    </w:p>
    <w:p>
      <w:pPr>
        <w:pStyle w:val="Legal2L2"/>
        <w:numPr>
          <w:ilvl w:val="1"/>
          <w:numId w:val="3"/>
        </w:numPr>
        <w:ind w:hanging="0" w:start="0"/>
        <w:rPr>
          <w:vanish/>
          <w:color w:val="FF0000"/>
        </w:rPr>
      </w:pPr>
      <w:bookmarkStart w:id="12" w:name="__RefHeading___Toc513389491"/>
      <w:r>
        <w:rPr/>
        <w:t>Contract Formation</w:t>
      </w:r>
      <w:r>
        <w:rPr>
          <w:u w:val="none"/>
        </w:rPr>
        <w:t>.</w:t>
      </w:r>
      <w:bookmarkEnd w:id="12"/>
      <w:r>
        <w:rPr>
          <w:u w:val="none"/>
        </w:rPr>
        <w:t xml:space="preserve"> </w:t>
      </w:r>
    </w:p>
    <w:p>
      <w:pPr>
        <w:pStyle w:val="Legal2L3"/>
        <w:numPr>
          <w:ilvl w:val="0"/>
          <w:numId w:val="0"/>
        </w:numPr>
        <w:ind w:hanging="0" w:start="0"/>
        <w:rPr/>
      </w:pPr>
      <w:r>
        <w:rPr/>
        <w:t>All Transactions shall be governed by and subject to the terms of the EEI Master.  Each Transaction will be formed, effectuated and evidenced by a written agreement (“</w:t>
      </w:r>
      <w:r>
        <w:rPr>
          <w:i/>
        </w:rPr>
        <w:t>Transaction Agreement</w:t>
      </w:r>
      <w:r>
        <w:rPr/>
        <w:t>”) executed by [Owner][NCPH] and Buyer, including by facsimile and/or counterparts, substantially similar in form to the Confirmation.  All Transactions may be executed on behalf of [Owner][NCPH] by Contractor, as [NCPH][Owner’s] agent.  Upon execution of a Transaction Agreement, the Transaction Agreement will be the final expression of all terms of such Transaction.   Nothing herein will cause Contractor to be or to be deemed a party to any Transaction Agreement between [NCPH][Owner] and Buyer (except where Contractor is Buyer) and particularly, without limitation, Contractor does not assume any obligation, liability or responsibility of [Owner][NCPH] to Buyer in connection with [NCPH’s]Owner’s obligation to schedule and deliver Products to Buyer. [</w:t>
      </w:r>
      <w:r>
        <w:rPr>
          <w:b/>
          <w:i/>
        </w:rPr>
        <w:t>IT WOULD APPEAR THAT THE PRUDENT WAY TO MANAGE THE EEI MASTER AND CONFIRMATIONS WOULD BE FOR NCPH TO EXECUTE THE APPROPRIATE AGREEMENT WITH THE VARIOUS COUNTERPARTIES SINCE IT CONTROLS ALL 70MW SUBJECT TO THE CP&amp;L AGREEMENT.</w:t>
      </w:r>
      <w:r>
        <w:rPr/>
        <w:t>]</w:t>
      </w:r>
    </w:p>
    <w:p>
      <w:pPr>
        <w:pStyle w:val="Legal2L2"/>
        <w:numPr>
          <w:ilvl w:val="1"/>
          <w:numId w:val="3"/>
        </w:numPr>
        <w:ind w:hanging="0" w:start="0"/>
        <w:rPr>
          <w:vanish/>
          <w:color w:val="FF0000"/>
        </w:rPr>
      </w:pPr>
      <w:bookmarkStart w:id="13" w:name="__RefHeading___Toc513389492"/>
      <w:r>
        <w:rPr/>
        <w:t>Required Approval</w:t>
      </w:r>
      <w:r>
        <w:rPr>
          <w:u w:val="none"/>
        </w:rPr>
        <w:t>.</w:t>
      </w:r>
      <w:bookmarkEnd w:id="13"/>
      <w:r>
        <w:rPr>
          <w:u w:val="none"/>
        </w:rPr>
        <w:t xml:space="preserve"> </w:t>
      </w:r>
    </w:p>
    <w:p>
      <w:pPr>
        <w:pStyle w:val="Legal2L3"/>
        <w:numPr>
          <w:ilvl w:val="0"/>
          <w:numId w:val="0"/>
        </w:numPr>
        <w:ind w:hanging="0" w:start="0"/>
        <w:rPr/>
      </w:pPr>
      <w:r>
        <w:rPr/>
        <w:t xml:space="preserve">Contractor Transactions are the only Transactions that must be pre-approved by Owner, except in the following instance[s] in which approval shall be deemed to have been given by Owner: </w:t>
      </w:r>
    </w:p>
    <w:p>
      <w:pPr>
        <w:pStyle w:val="Legal2L3"/>
        <w:numPr>
          <w:ilvl w:val="2"/>
          <w:numId w:val="3"/>
        </w:numPr>
        <w:ind w:hanging="0" w:start="0"/>
        <w:rPr/>
      </w:pPr>
      <w:r>
        <w:rPr/>
        <w:t xml:space="preserve">[(i) CP&amp;L does not properly exercise its option to buy and receive 100% of the output from either Facility or both Facilities or CP&amp;L does not timely schedule a Facility for any day or part of a day pursuant to the CP&amp;L Agreement, and (ii) Contractor is willing to purchase the uncommitted block(s) of Energy at the applicable “Contract Price” as set forth and as may be adjusted, including refunds, in the CP&amp;L Agreement; or </w:t>
      </w:r>
    </w:p>
    <w:p>
      <w:pPr>
        <w:pStyle w:val="Legal2L3"/>
        <w:numPr>
          <w:ilvl w:val="0"/>
          <w:numId w:val="0"/>
        </w:numPr>
        <w:ind w:firstLine="720" w:start="720" w:end="0"/>
        <w:rPr/>
      </w:pPr>
      <w:r>
        <w:rPr/>
        <w:t>(b)</w:t>
        <w:tab/>
        <w:t>[</w:t>
      </w:r>
      <w:r>
        <w:rPr>
          <w:b/>
        </w:rPr>
        <w:t>Discuss circumstances where put option is exercised.</w:t>
      </w:r>
      <w:r>
        <w:rPr/>
        <w:t>].]</w:t>
      </w:r>
    </w:p>
    <w:p>
      <w:pPr>
        <w:pStyle w:val="Legal2L2"/>
        <w:numPr>
          <w:ilvl w:val="1"/>
          <w:numId w:val="3"/>
        </w:numPr>
        <w:ind w:hanging="0" w:start="0"/>
        <w:rPr>
          <w:vanish/>
          <w:color w:val="FF0000"/>
        </w:rPr>
      </w:pPr>
      <w:bookmarkStart w:id="14" w:name="__RefHeading___Toc513389493"/>
      <w:r>
        <w:rPr/>
        <w:t>Scheduling</w:t>
      </w:r>
      <w:r>
        <w:rPr>
          <w:u w:val="none"/>
        </w:rPr>
        <w:t>.</w:t>
      </w:r>
      <w:bookmarkEnd w:id="14"/>
      <w:r>
        <w:rPr>
          <w:u w:val="none"/>
        </w:rPr>
        <w:t xml:space="preserve"> </w:t>
      </w:r>
    </w:p>
    <w:p>
      <w:pPr>
        <w:pStyle w:val="Legal2L2"/>
        <w:numPr>
          <w:ilvl w:val="0"/>
          <w:numId w:val="0"/>
        </w:numPr>
        <w:ind w:firstLine="720" w:start="0" w:end="0"/>
        <w:rPr>
          <w:vanish/>
          <w:color w:val="FF0000"/>
          <w:u w:val="none"/>
        </w:rPr>
      </w:pPr>
      <w:r>
        <w:rPr>
          <w:vanish/>
          <w:color w:val="FF0000"/>
          <w:u w:val="none"/>
        </w:rPr>
      </w:r>
    </w:p>
    <w:p>
      <w:pPr>
        <w:pStyle w:val="Legal2L2"/>
        <w:numPr>
          <w:ilvl w:val="0"/>
          <w:numId w:val="0"/>
        </w:numPr>
        <w:ind w:firstLine="720" w:start="0" w:end="0"/>
        <w:rPr>
          <w:vanish/>
          <w:color w:val="FF0000"/>
          <w:u w:val="none"/>
        </w:rPr>
      </w:pPr>
      <w:r>
        <w:rPr>
          <w:vanish/>
          <w:color w:val="FF0000"/>
          <w:u w:val="none"/>
        </w:rPr>
      </w:r>
    </w:p>
    <w:p>
      <w:pPr>
        <w:pStyle w:val="Legal2L3"/>
        <w:numPr>
          <w:ilvl w:val="2"/>
          <w:numId w:val="3"/>
        </w:numPr>
        <w:ind w:hanging="0" w:start="0"/>
        <w:rPr/>
      </w:pPr>
      <w:r>
        <w:rPr/>
        <w:t>Each Party shall designate a responsible person to act as Energy Coordinator.  Each party may replace its designated Energy Coordinator but only with the consent of the other party (such consent not to be unreasonably withheld, conditioned or delayed). [</w:t>
      </w:r>
      <w:r>
        <w:rPr>
          <w:b/>
          <w:i/>
        </w:rPr>
        <w:t>WHY NOT JUST PRIOR NOTICE?</w:t>
      </w:r>
      <w:r>
        <w:rPr/>
        <w:t>]</w:t>
      </w:r>
    </w:p>
    <w:p>
      <w:pPr>
        <w:pStyle w:val="Legal2L3"/>
        <w:numPr>
          <w:ilvl w:val="2"/>
          <w:numId w:val="3"/>
        </w:numPr>
        <w:ind w:hanging="0" w:start="0"/>
        <w:rPr/>
      </w:pPr>
      <w:r>
        <w:rPr/>
        <w:t xml:space="preserve">Each day, as soon as possible after CP&amp;L submits its nominations to Operator pursuant to the CP&amp;L Agreement (or, if CP&amp;L fails to exercise its option under the CP&amp;L Agreement by the time of expiry thereof), Contractor’s Energy Coordinator shall notify Owner’s Energy Coordinator in writing of Contractor’s estimate of available Products and of proposed Transaction(s) or other marketing plans, if any, to sell the uncommitted Products.  Unless Owner notifies Contractor in writing or by telephone within three (3) hours of Owner’s receipt of Contractor’s notice of Owner’s decision to reject any or all the proposed Transactions or marketing plans, then Owner shall be deemed to have accepted such Transaction(s) or marketing plans.  Any notification by Owner to reject a Transaction(s) shall specifically identify each Transaction or marketing plans to which it objects.  Notwithstanding the foregoing, all Contractor Transactions shall require approval in writing from Owner as provided in </w:t>
      </w:r>
      <w:r>
        <w:rPr>
          <w:u w:val="single"/>
        </w:rPr>
        <w:t>Section 3.3</w:t>
      </w:r>
      <w:r>
        <w:rPr/>
        <w:t xml:space="preserve"> above.</w:t>
      </w:r>
    </w:p>
    <w:p>
      <w:pPr>
        <w:pStyle w:val="Legal2L2"/>
        <w:numPr>
          <w:ilvl w:val="1"/>
          <w:numId w:val="3"/>
        </w:numPr>
        <w:ind w:hanging="0" w:start="0"/>
        <w:rPr>
          <w:vanish/>
          <w:color w:val="FF0000"/>
        </w:rPr>
      </w:pPr>
      <w:bookmarkStart w:id="15" w:name="__RefHeading___Toc513389494"/>
      <w:r>
        <w:rPr/>
        <w:t>Transmission</w:t>
      </w:r>
      <w:r>
        <w:rPr>
          <w:u w:val="none"/>
        </w:rPr>
        <w:t>.</w:t>
      </w:r>
      <w:bookmarkEnd w:id="15"/>
      <w:r>
        <w:rPr>
          <w:u w:val="none"/>
        </w:rPr>
        <w:t xml:space="preserve"> </w:t>
      </w:r>
    </w:p>
    <w:p>
      <w:pPr>
        <w:pStyle w:val="Legal2L3"/>
        <w:numPr>
          <w:ilvl w:val="0"/>
          <w:numId w:val="0"/>
        </w:numPr>
        <w:ind w:hanging="0" w:start="0"/>
        <w:rPr/>
      </w:pPr>
      <w:r>
        <w:rPr/>
        <w:t>At Owner’s expense, Contractor will arrange and be responsible for transmission service to the Delivery Point and will schedule or arrange for scheduling services with Owner’s Transmission Providers to deliver the Products to the Delivery Point.  As between Contractor and Owner or as otherwise agreed by Owner, Owner will be responsible for any costs or charges imposed on or associated with the delivery of Products, including control area service, inadvertent energy flows, transmission losses and loss charges relating to the transmission of the Products prior to and at the Delivery Point.  [</w:t>
      </w:r>
      <w:r>
        <w:rPr>
          <w:b/>
          <w:i/>
        </w:rPr>
        <w:t>DISCUSS INTERACTION BETWEEN THIS AND “MARKETING EXPENSES”</w:t>
      </w:r>
      <w:r>
        <w:rPr/>
        <w:t>] Nothing herein will cause Contractor to be or to be deemed a party to any transmission agreement with Owner’s Transmission Provider(s) and particularly, without limitation, Contractor does not assume any obligation, liability or responsibility of Owner to Owner’s Transmission Providers(s) in connection with the obligation to pay transmission invoices.  Each Transaction Agreement will indicate whether the Products sold, and delivery thereof, is interruptible or firm.  If a Transaction is not designated as contingent or firm, it will be deemed to be interruptible.</w:t>
      </w:r>
    </w:p>
    <w:p>
      <w:pPr>
        <w:pStyle w:val="Legal2L2"/>
        <w:numPr>
          <w:ilvl w:val="1"/>
          <w:numId w:val="3"/>
        </w:numPr>
        <w:ind w:hanging="0" w:start="0"/>
        <w:rPr>
          <w:vanish/>
          <w:color w:val="FF0000"/>
        </w:rPr>
      </w:pPr>
      <w:bookmarkStart w:id="16" w:name="__RefHeading___Toc513389495"/>
      <w:r>
        <w:rPr/>
        <w:t>Coordination</w:t>
      </w:r>
      <w:r>
        <w:rPr>
          <w:u w:val="none"/>
        </w:rPr>
        <w:t>.</w:t>
      </w:r>
      <w:bookmarkEnd w:id="16"/>
      <w:r>
        <w:rPr>
          <w:u w:val="none"/>
        </w:rPr>
        <w:t xml:space="preserve"> </w:t>
      </w:r>
    </w:p>
    <w:p>
      <w:pPr>
        <w:pStyle w:val="Legal2L3"/>
        <w:numPr>
          <w:ilvl w:val="0"/>
          <w:numId w:val="0"/>
        </w:numPr>
        <w:ind w:hanging="0" w:start="0"/>
        <w:rPr/>
      </w:pPr>
      <w:r>
        <w:rPr/>
        <w:t>Through the Term of this Agreement, the Energy Coordinators shall meet or otherwise communicate as frequently as the Parties agree to be reasonably necessary or appropriate to try to coordinate the performance of the Facilities with the marketing and sale of Products contemplated hereby.</w:t>
      </w:r>
    </w:p>
    <w:p>
      <w:pPr>
        <w:pStyle w:val="Legal2L2"/>
        <w:numPr>
          <w:ilvl w:val="1"/>
          <w:numId w:val="3"/>
        </w:numPr>
        <w:ind w:hanging="0" w:start="0"/>
        <w:rPr>
          <w:vanish/>
          <w:color w:val="FF0000"/>
        </w:rPr>
      </w:pPr>
      <w:bookmarkStart w:id="17" w:name="__RefHeading___Toc513389496"/>
      <w:r>
        <w:rPr/>
        <w:t>Coordination Procedures</w:t>
      </w:r>
      <w:r>
        <w:rPr>
          <w:u w:val="none"/>
        </w:rPr>
        <w:t>.</w:t>
      </w:r>
      <w:bookmarkEnd w:id="17"/>
      <w:r>
        <w:rPr>
          <w:u w:val="none"/>
        </w:rPr>
        <w:t xml:space="preserve"> </w:t>
      </w:r>
    </w:p>
    <w:p>
      <w:pPr>
        <w:pStyle w:val="Legal2L3"/>
        <w:numPr>
          <w:ilvl w:val="0"/>
          <w:numId w:val="0"/>
        </w:numPr>
        <w:ind w:hanging="0" w:start="0"/>
        <w:rPr/>
      </w:pPr>
      <w:r>
        <w:rPr/>
        <w:t>To ensure timely response to dispatch instructions and provide the timely exchange of information necessary for bidding, scheduling and dispatch of Products from the Facilities, the Parties shall adopt Communication Procedures to comply with the Protocols.  The Communication Procedures shall include procedures for the communication of information regarding compliance with and monitoring circumstances surrounding any First Contingency Emergency Dispatch, Scheduled Outages, Forced Outages, and pricing of the Facilities’ Products.  [Pursuant to such Communication Procedures, Owner shall cause the Operator to provide Contractor (on a regular basis but not less frequently than once each month) with (i) its projection each month of the total Available Energy and Capacity from the Facilities for the next month and (ii) known Scheduled Outages on a current and projected basis and the anticipated duration of any resulting interruptions.][</w:t>
      </w:r>
      <w:r>
        <w:rPr>
          <w:b/>
          <w:i/>
        </w:rPr>
        <w:t>SHOULDN’T CONTRACTOR GET THIS INFORMATION DIRECTLY AS PART OF ITS SCOPE IN DEALING WITH OPERATOR ON OWNER’S BEHALF; I.E., WHY MUST IT COME FROM OWNER?</w:t>
      </w:r>
      <w:r>
        <w:rPr/>
        <w:t>]  Owner shall cause the Operator to provide Contractor notice of any changes in such information, projections or costs as soon as reasonably practicable.  [It is the objective of both Parties hereto that the Communication Procedures provide Contractor with a set of approved trading activities that are very narrowly defined within well defined boundaries.][</w:t>
      </w:r>
      <w:r>
        <w:rPr>
          <w:b/>
          <w:i/>
        </w:rPr>
        <w:t>WHAT DOES THIS MEAN?</w:t>
      </w:r>
      <w:r>
        <w:rPr/>
        <w:t>]</w:t>
      </w:r>
    </w:p>
    <w:p>
      <w:pPr>
        <w:pStyle w:val="Legal2L2"/>
        <w:numPr>
          <w:ilvl w:val="1"/>
          <w:numId w:val="3"/>
        </w:numPr>
        <w:ind w:hanging="0" w:start="0"/>
        <w:rPr>
          <w:vanish/>
          <w:color w:val="FF0000"/>
        </w:rPr>
      </w:pPr>
      <w:bookmarkStart w:id="18" w:name="__RefHeading___Toc513389497"/>
      <w:r>
        <w:rPr/>
        <w:t>Title and Risk of Loss</w:t>
      </w:r>
      <w:r>
        <w:rPr>
          <w:u w:val="none"/>
        </w:rPr>
        <w:t>.</w:t>
      </w:r>
      <w:bookmarkEnd w:id="18"/>
      <w:r>
        <w:rPr>
          <w:u w:val="none"/>
        </w:rPr>
        <w:t xml:space="preserve"> </w:t>
      </w:r>
    </w:p>
    <w:p>
      <w:pPr>
        <w:pStyle w:val="Legal2L3"/>
        <w:numPr>
          <w:ilvl w:val="0"/>
          <w:numId w:val="0"/>
        </w:numPr>
        <w:ind w:hanging="0" w:start="0"/>
        <w:rPr/>
      </w:pPr>
      <w:r>
        <w:rPr/>
        <w:t>As between the Parties, Owner will be deemed to be in exclusive control and possession of the Products hereunder and responsible for any damage or injury caused by Products scheduled and delivered by Contractor to Buyer prior to and at the Delivery Point. As between the Parties, title to and risk of loss shall remain with Owner; at no time shall Contractor be deemed to have taken title to or assumed the risk of loss for Products in providing services pursuant to this Agreement (except pursuant to Contractor Transactions).</w:t>
      </w:r>
    </w:p>
    <w:p>
      <w:pPr>
        <w:pStyle w:val="Legal2L2"/>
        <w:numPr>
          <w:ilvl w:val="1"/>
          <w:numId w:val="3"/>
        </w:numPr>
        <w:ind w:hanging="0" w:start="0"/>
        <w:rPr>
          <w:vanish/>
          <w:color w:val="FF0000"/>
        </w:rPr>
      </w:pPr>
      <w:bookmarkStart w:id="19" w:name="__RefHeading___Toc513389498"/>
      <w:r>
        <w:rPr/>
        <w:t>Commodity Trading Advisor</w:t>
      </w:r>
      <w:r>
        <w:rPr>
          <w:u w:val="none"/>
        </w:rPr>
        <w:t>.</w:t>
      </w:r>
      <w:bookmarkEnd w:id="19"/>
      <w:r>
        <w:rPr>
          <w:u w:val="none"/>
        </w:rPr>
        <w:t xml:space="preserve"> </w:t>
      </w:r>
    </w:p>
    <w:p>
      <w:pPr>
        <w:pStyle w:val="Legal2L3"/>
        <w:numPr>
          <w:ilvl w:val="0"/>
          <w:numId w:val="0"/>
        </w:numPr>
        <w:ind w:hanging="0" w:start="0"/>
        <w:rPr/>
      </w:pPr>
      <w:r>
        <w:rPr/>
        <w:t>Notwithstanding anything in this Agreement to the contrary, the Parties agree and acknowledge that (i) Contractor is not  (and will not be) providing to Owner advice concerning trading commodity interest, and (ii) Contractor is not acting as a commodity trading advisor (as defined in the Commodity Exchange Act).</w:t>
      </w:r>
    </w:p>
    <w:p>
      <w:pPr>
        <w:pStyle w:val="Legal2L2"/>
        <w:numPr>
          <w:ilvl w:val="1"/>
          <w:numId w:val="3"/>
        </w:numPr>
        <w:ind w:hanging="0" w:start="0"/>
        <w:rPr>
          <w:vanish/>
          <w:color w:val="FF0000"/>
        </w:rPr>
      </w:pPr>
      <w:bookmarkStart w:id="20" w:name="__RefHeading___Toc513389499"/>
      <w:r>
        <w:rPr/>
        <w:t>Legal Advice</w:t>
      </w:r>
      <w:r>
        <w:rPr>
          <w:u w:val="none"/>
        </w:rPr>
        <w:t>.</w:t>
      </w:r>
      <w:bookmarkEnd w:id="20"/>
      <w:r>
        <w:rPr>
          <w:u w:val="none"/>
        </w:rPr>
        <w:t xml:space="preserve"> </w:t>
      </w:r>
    </w:p>
    <w:p>
      <w:pPr>
        <w:pStyle w:val="Legal2L3"/>
        <w:numPr>
          <w:ilvl w:val="0"/>
          <w:numId w:val="0"/>
        </w:numPr>
        <w:ind w:hanging="0" w:start="0"/>
        <w:rPr/>
      </w:pPr>
      <w:r>
        <w:rPr/>
        <w:t>Contractor shall not be obligated to provide (and will not provide) any legal, accounting or tax advice in connection with such Transaction.</w:t>
      </w:r>
    </w:p>
    <w:p>
      <w:pPr>
        <w:pStyle w:val="Legal2L3"/>
        <w:numPr>
          <w:ilvl w:val="0"/>
          <w:numId w:val="0"/>
        </w:numPr>
        <w:ind w:hanging="0" w:start="0"/>
        <w:rPr/>
      </w:pPr>
      <w:r>
        <w:rPr/>
      </w:r>
    </w:p>
    <w:p>
      <w:pPr>
        <w:pStyle w:val="Legal2L1"/>
        <w:numPr>
          <w:ilvl w:val="0"/>
          <w:numId w:val="3"/>
        </w:numPr>
        <w:ind w:hanging="0" w:start="0"/>
        <w:rPr/>
      </w:pPr>
      <w:bookmarkStart w:id="21" w:name="__RefHeading___Toc513389500"/>
      <w:bookmarkEnd w:id="21"/>
      <w:r>
        <w:rPr/>
        <w:t>Payments</w:t>
      </w:r>
    </w:p>
    <w:p>
      <w:pPr>
        <w:pStyle w:val="Legal2L2"/>
        <w:numPr>
          <w:ilvl w:val="1"/>
          <w:numId w:val="3"/>
        </w:numPr>
        <w:ind w:hanging="0" w:start="0"/>
        <w:rPr>
          <w:vanish/>
          <w:color w:val="FF0000"/>
        </w:rPr>
      </w:pPr>
      <w:bookmarkStart w:id="22" w:name="__RefHeading___Toc513389501"/>
      <w:r>
        <w:rPr/>
        <w:t>Fees and Expenses</w:t>
      </w:r>
      <w:bookmarkEnd w:id="22"/>
      <w:r>
        <w:rPr>
          <w:u w:val="none"/>
        </w:rPr>
        <w:t xml:space="preserve">  </w:t>
      </w:r>
    </w:p>
    <w:p>
      <w:pPr>
        <w:pStyle w:val="BodyText"/>
        <w:rPr/>
      </w:pPr>
      <w:r>
        <w:rPr/>
        <w:t xml:space="preserve">During the Term of this Agreement, Contractor shall be entitled to a fee for performance as follows: </w:t>
      </w:r>
    </w:p>
    <w:p>
      <w:pPr>
        <w:pStyle w:val="Legal2L3"/>
        <w:numPr>
          <w:ilvl w:val="2"/>
          <w:numId w:val="3"/>
        </w:numPr>
        <w:ind w:hanging="0" w:start="0"/>
        <w:rPr/>
      </w:pPr>
      <w:r>
        <w:rPr/>
        <w:t xml:space="preserve">Contractor shall be paid a minimum monthly fee of Ten Thousand Dollars ($10,000.00) per calendar month.  For any part month, the monthly amount shall be divided by thirty (30) and multiplied times the number of days in the part month in which this Agreement was in effect. </w:t>
      </w:r>
    </w:p>
    <w:p>
      <w:pPr>
        <w:pStyle w:val="Legal2L3"/>
        <w:numPr>
          <w:ilvl w:val="2"/>
          <w:numId w:val="3"/>
        </w:numPr>
        <w:ind w:hanging="0" w:start="0"/>
        <w:rPr/>
      </w:pPr>
      <w:r>
        <w:rPr/>
        <w:t xml:space="preserve">Contractor shall be paid $0.25 per MWh for each physical MWh sold by Contractor from the Facilities pursuant to any Transaction (provided, that the foregoing shall not include any sales made by Owner pursuant to the CP&amp;L Agreement). </w:t>
      </w:r>
    </w:p>
    <w:p>
      <w:pPr>
        <w:pStyle w:val="Legal2L3"/>
        <w:numPr>
          <w:ilvl w:val="2"/>
          <w:numId w:val="3"/>
        </w:numPr>
        <w:ind w:hanging="0" w:start="0"/>
        <w:rPr/>
      </w:pPr>
      <w:r>
        <w:rPr/>
        <w:t>Contractor shall be reimbursed for its Marketing Expenses and for its Existing Transaction Costs.</w:t>
      </w:r>
    </w:p>
    <w:p>
      <w:pPr>
        <w:pStyle w:val="Legal2L2"/>
        <w:numPr>
          <w:ilvl w:val="1"/>
          <w:numId w:val="3"/>
        </w:numPr>
        <w:ind w:hanging="0" w:start="0"/>
        <w:rPr>
          <w:vanish/>
          <w:color w:val="FF0000"/>
        </w:rPr>
      </w:pPr>
      <w:bookmarkStart w:id="23" w:name="__RefHeading___Toc513389502"/>
      <w:r>
        <w:rPr/>
        <w:t>Payment of Marketing Expenses</w:t>
      </w:r>
      <w:r>
        <w:rPr>
          <w:u w:val="none"/>
        </w:rPr>
        <w:t>.</w:t>
      </w:r>
      <w:bookmarkEnd w:id="23"/>
      <w:r>
        <w:rPr>
          <w:u w:val="none"/>
        </w:rPr>
        <w:t xml:space="preserve">  </w:t>
      </w:r>
    </w:p>
    <w:p>
      <w:pPr>
        <w:pStyle w:val="Legal2L3"/>
        <w:numPr>
          <w:ilvl w:val="0"/>
          <w:numId w:val="0"/>
        </w:numPr>
        <w:ind w:hanging="0" w:start="0"/>
        <w:rPr/>
      </w:pPr>
      <w:r>
        <w:rPr/>
        <w:t xml:space="preserve">Contractor shall submit to Owner in accordance with </w:t>
      </w:r>
      <w:r>
        <w:rPr>
          <w:u w:val="single"/>
        </w:rPr>
        <w:t>Section 4.3</w:t>
      </w:r>
      <w:r>
        <w:rPr/>
        <w:t xml:space="preserve"> below a statement detailing all applicable Marketing Expenses</w:t>
      </w:r>
      <w:r>
        <w:rPr>
          <w:b/>
        </w:rPr>
        <w:t xml:space="preserve"> </w:t>
      </w:r>
      <w:r>
        <w:rPr/>
        <w:t>and Existing Transaction Costs for the preceding month.  The statement shall set forth the Market Price in each Confirmation, the quantity of Products that were sold and scheduled for delivery in the previous month, and the Marketing Expenses actually incurred in connection with such Transactions, together with any other relevant information. For avoidance of doubt, Owner shall ultimately be responsible for all Marketing Expenses and the Existing Transaction Costs and shall be obligated to reimburse Contractor for any Marketing Expenses and Existing Transaction Costs that it incurs or otherwise pays. [</w:t>
      </w:r>
      <w:r>
        <w:rPr>
          <w:b/>
          <w:i/>
        </w:rPr>
        <w:t>DISCUSS MARKETING EXPENSES</w:t>
      </w:r>
      <w:r>
        <w:rPr/>
        <w:t>]</w:t>
      </w:r>
    </w:p>
    <w:p>
      <w:pPr>
        <w:pStyle w:val="Legal2L2"/>
        <w:numPr>
          <w:ilvl w:val="1"/>
          <w:numId w:val="3"/>
        </w:numPr>
        <w:ind w:hanging="0" w:start="0"/>
        <w:rPr>
          <w:vanish/>
          <w:color w:val="FF0000"/>
        </w:rPr>
      </w:pPr>
      <w:bookmarkStart w:id="24" w:name="__RefHeading___Toc513389503"/>
      <w:r>
        <w:rPr/>
        <w:t>Invoicing and Payment of Fees</w:t>
      </w:r>
      <w:r>
        <w:rPr>
          <w:u w:val="none"/>
        </w:rPr>
        <w:t>.</w:t>
      </w:r>
      <w:bookmarkEnd w:id="24"/>
      <w:r>
        <w:rPr>
          <w:u w:val="none"/>
        </w:rPr>
        <w:t xml:space="preserve"> </w:t>
      </w:r>
    </w:p>
    <w:p>
      <w:pPr>
        <w:pStyle w:val="BodyText"/>
        <w:rPr/>
      </w:pPr>
      <w:r>
        <w:rPr/>
        <w:t>Unless otherwise agreed by the Parties in a Transaction Agreement, all invoices under this Agreement shall be due and payable in accordance with each Party’s invoice instructions on or before the later of the twentieth (20th) day of each month, or tenth (10th) day after receipt of the invoice or, if such day is not a Business Day, then on the next Business Day.  [</w:t>
      </w:r>
      <w:r>
        <w:rPr>
          <w:b/>
          <w:i/>
        </w:rPr>
        <w:t>WHAT INVOICES TO BE RENDERED BY OWNER?</w:t>
      </w:r>
      <w:r>
        <w:rPr/>
        <w:t>] Each Party will make payments by electronic funds transfer, or by other mutually agreeable method(s), to the account designated by the other Party.  Any amounts due to a Party and not paid by the due date will be deemed delinquent and will accrue interest at the LIBO Rate, such interest to be calculated from and including the due date to but excluding the date the delinquent amount is paid in full.</w:t>
      </w:r>
    </w:p>
    <w:p>
      <w:pPr>
        <w:pStyle w:val="Legal2L2"/>
        <w:numPr>
          <w:ilvl w:val="1"/>
          <w:numId w:val="3"/>
        </w:numPr>
        <w:ind w:hanging="0" w:start="0"/>
        <w:rPr>
          <w:vanish/>
          <w:color w:val="FF0000"/>
        </w:rPr>
      </w:pPr>
      <w:bookmarkStart w:id="25" w:name="__RefHeading___Toc513389504"/>
      <w:r>
        <w:rPr/>
        <w:t>Audit Rights; Disputes</w:t>
      </w:r>
      <w:r>
        <w:rPr>
          <w:u w:val="none"/>
        </w:rPr>
        <w:t>.</w:t>
      </w:r>
      <w:bookmarkEnd w:id="25"/>
      <w:r>
        <w:rPr>
          <w:u w:val="none"/>
        </w:rPr>
        <w:t xml:space="preserve">  </w:t>
      </w:r>
    </w:p>
    <w:p>
      <w:pPr>
        <w:pStyle w:val="StandardL5"/>
        <w:numPr>
          <w:ilvl w:val="0"/>
          <w:numId w:val="0"/>
        </w:numPr>
        <w:ind w:hanging="0" w:start="0"/>
        <w:jc w:val="both"/>
        <w:rPr/>
      </w:pPr>
      <w:r>
        <w:rP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LIBO Rate from and including the due date to but excluding the date paid.  Inadvertent overpayments shall be returned upon request or deducted by the Party receiving such overpayment from subsequent payments, with interest accrued at the LIBO Rate from and including the date of such overpayment to but excluding the date repaid or deducted by the Party receiving such overpayment.  Any dispute with respect to an invoice is waived unless the other Party is notified in accordance with this </w:t>
      </w:r>
      <w:r>
        <w:rPr>
          <w:u w:val="single"/>
        </w:rPr>
        <w:t>Section 4.4</w:t>
      </w:r>
      <w:r>
        <w:rPr/>
        <w:t xml:space="preserve">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BodyText"/>
        <w:rPr/>
      </w:pPr>
      <w:r>
        <w:rPr/>
        <w:t>[</w:t>
      </w:r>
      <w:r>
        <w:rPr>
          <w:b/>
          <w:i/>
        </w:rPr>
        <w:t>Deleted 4.5 and 4.6 belong in an EEI Master to govern Contractor Transactions.</w:t>
      </w:r>
      <w:r>
        <w:rPr/>
        <w:t>]</w:t>
      </w:r>
    </w:p>
    <w:p>
      <w:pPr>
        <w:pStyle w:val="Legal2L1"/>
        <w:numPr>
          <w:ilvl w:val="0"/>
          <w:numId w:val="3"/>
        </w:numPr>
        <w:ind w:hanging="0" w:start="0"/>
        <w:rPr/>
      </w:pPr>
      <w:bookmarkStart w:id="26" w:name="__RefHeading___Toc513389505"/>
      <w:bookmarkEnd w:id="26"/>
      <w:r>
        <w:rPr/>
        <w:t>Term</w:t>
      </w:r>
    </w:p>
    <w:p>
      <w:pPr>
        <w:pStyle w:val="Legal2L2"/>
        <w:numPr>
          <w:ilvl w:val="1"/>
          <w:numId w:val="3"/>
        </w:numPr>
        <w:ind w:hanging="0" w:start="0"/>
        <w:rPr>
          <w:vanish/>
          <w:color w:val="FF0000"/>
        </w:rPr>
      </w:pPr>
      <w:bookmarkStart w:id="27" w:name="__RefHeading___Toc513389506"/>
      <w:r>
        <w:rPr/>
        <w:t>Term</w:t>
      </w:r>
      <w:r>
        <w:rPr>
          <w:u w:val="none"/>
        </w:rPr>
        <w:t>.</w:t>
      </w:r>
      <w:bookmarkEnd w:id="27"/>
      <w:r>
        <w:rPr>
          <w:u w:val="none"/>
        </w:rPr>
        <w:t xml:space="preserve">  </w:t>
      </w:r>
    </w:p>
    <w:p>
      <w:pPr>
        <w:pStyle w:val="BodyText"/>
        <w:rPr/>
      </w:pPr>
      <w:r>
        <w:rPr/>
        <w:t>This Agreement shall continue in full force and effect from the Effective Date until the Expiration Date, unless otherwise terminated prior to the Expiration Date pursuant to the terms below (the “</w:t>
      </w:r>
      <w:r>
        <w:rPr>
          <w:i/>
        </w:rPr>
        <w:t>Term</w:t>
      </w:r>
      <w:r>
        <w:rPr/>
        <w:t xml:space="preserve">”). </w:t>
      </w:r>
      <w:r>
        <w:rPr>
          <w:rFonts w:cs="MS Sans Serif" w:ascii="MS Sans Serif" w:hAnsi="MS Sans Serif"/>
          <w:lang w:eastAsia="en-US"/>
        </w:rPr>
        <w:t xml:space="preserve">  </w:t>
      </w:r>
    </w:p>
    <w:p>
      <w:pPr>
        <w:pStyle w:val="Legal2L1"/>
        <w:numPr>
          <w:ilvl w:val="0"/>
          <w:numId w:val="3"/>
        </w:numPr>
        <w:ind w:hanging="0" w:start="0"/>
        <w:rPr/>
      </w:pPr>
      <w:bookmarkStart w:id="28" w:name="__RefHeading___Toc513389507"/>
      <w:bookmarkEnd w:id="28"/>
      <w:r>
        <w:rPr/>
        <w:t>Events Of Defaults; Remedies</w:t>
      </w:r>
    </w:p>
    <w:p>
      <w:pPr>
        <w:pStyle w:val="Legal2L2"/>
        <w:numPr>
          <w:ilvl w:val="1"/>
          <w:numId w:val="3"/>
        </w:numPr>
        <w:ind w:hanging="0" w:start="0"/>
        <w:rPr>
          <w:vanish/>
          <w:color w:val="FF0000"/>
        </w:rPr>
      </w:pPr>
      <w:bookmarkStart w:id="29" w:name="__RefHeading___Toc513389508"/>
      <w:r>
        <w:rPr/>
        <w:t>Events of Default</w:t>
      </w:r>
      <w:r>
        <w:rPr>
          <w:u w:val="none"/>
        </w:rPr>
        <w:t>.</w:t>
      </w:r>
      <w:bookmarkEnd w:id="29"/>
      <w:r>
        <w:rPr>
          <w:u w:val="none"/>
        </w:rPr>
        <w:t xml:space="preserve">  </w:t>
      </w:r>
    </w:p>
    <w:p>
      <w:pPr>
        <w:pStyle w:val="BodyText"/>
        <w:rPr/>
      </w:pPr>
      <w:r>
        <w:rPr/>
        <w:t>Each of the following shall constitute an “Event of Default” under this Agreement:</w:t>
      </w:r>
    </w:p>
    <w:p>
      <w:pPr>
        <w:pStyle w:val="Legal2L3"/>
        <w:numPr>
          <w:ilvl w:val="2"/>
          <w:numId w:val="3"/>
        </w:numPr>
        <w:ind w:hanging="0" w:start="0"/>
        <w:rPr/>
      </w:pPr>
      <w:r>
        <w:rPr/>
        <w:t>The filing by either Party of a bankruptcy petition or acquiescence by either Party in the filing of a bankruptcy petition by any other person against either Party;</w:t>
      </w:r>
    </w:p>
    <w:p>
      <w:pPr>
        <w:pStyle w:val="Legal2L3"/>
        <w:numPr>
          <w:ilvl w:val="2"/>
          <w:numId w:val="3"/>
        </w:numPr>
        <w:ind w:hanging="0" w:start="0"/>
        <w:rPr/>
      </w:pPr>
      <w:r>
        <w:rPr/>
        <w:t>The filing of an involuntary bankruptcy petition against either Party;</w:t>
      </w:r>
    </w:p>
    <w:p>
      <w:pPr>
        <w:pStyle w:val="Legal2L3"/>
        <w:numPr>
          <w:ilvl w:val="2"/>
          <w:numId w:val="3"/>
        </w:numPr>
        <w:ind w:hanging="0" w:start="0"/>
        <w:rPr/>
      </w:pPr>
      <w:r>
        <w:rPr/>
        <w:t>The making by either Party of a general assignment for the benefit of its creditors (other than a collateral assignment for financing purposes);</w:t>
      </w:r>
    </w:p>
    <w:p>
      <w:pPr>
        <w:pStyle w:val="Legal2L3"/>
        <w:numPr>
          <w:ilvl w:val="2"/>
          <w:numId w:val="3"/>
        </w:numPr>
        <w:ind w:hanging="0" w:start="0"/>
        <w:rPr/>
      </w:pPr>
      <w:r>
        <w:rPr/>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Legal2L3"/>
        <w:numPr>
          <w:ilvl w:val="2"/>
          <w:numId w:val="3"/>
        </w:numPr>
        <w:ind w:hanging="0" w:start="0"/>
        <w:rPr/>
      </w:pPr>
      <w:r>
        <w:rPr/>
        <w:t>The sale or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w:t>
      </w:r>
    </w:p>
    <w:p>
      <w:pPr>
        <w:pStyle w:val="Legal2L3"/>
        <w:numPr>
          <w:ilvl w:val="2"/>
          <w:numId w:val="3"/>
        </w:numPr>
        <w:ind w:hanging="0" w:start="0"/>
        <w:rPr/>
      </w:pPr>
      <w:r>
        <w:rPr/>
        <w:t>The failure by a Party to pay any amounts hereunder to the other Party, which failure continues for a period of ten (10) days after receipt of written notice of such nonpayment;</w:t>
      </w:r>
    </w:p>
    <w:p>
      <w:pPr>
        <w:pStyle w:val="Legal2L3"/>
        <w:numPr>
          <w:ilvl w:val="2"/>
          <w:numId w:val="3"/>
        </w:numPr>
        <w:ind w:hanging="0" w:start="0"/>
        <w:rPr/>
      </w:pPr>
      <w:r>
        <w:rPr/>
        <w:t>As an Event of Default by Contractor only, the termination of the Brokerage Agreement by Highstar or the forfeiture of ENA’s right to receive the “Contingent Compensation” (under and as defined in the Securities Purchase Agreement); or</w:t>
      </w:r>
    </w:p>
    <w:p>
      <w:pPr>
        <w:pStyle w:val="Legal2L3"/>
        <w:numPr>
          <w:ilvl w:val="2"/>
          <w:numId w:val="3"/>
        </w:numPr>
        <w:ind w:hanging="0" w:start="0"/>
        <w:rPr/>
      </w:pPr>
      <w:r>
        <w:rPr/>
        <w:t>A material failure by either Party to perform any of its other obligations hereunder, unless (if such failure is curable) such Party has cured such failure within thirty (30) days of such Party's receipt of written notice thereof from the other Party demanding such cure, or such additional period as may be reasonably required to cure such failure as long as the non-performing Party has promptly initiated and is diligently pursuing such cure (but in no event in excess of ninety (90) days after such receipt of notice).</w:t>
      </w:r>
    </w:p>
    <w:p>
      <w:pPr>
        <w:pStyle w:val="Legal2L2"/>
        <w:numPr>
          <w:ilvl w:val="1"/>
          <w:numId w:val="3"/>
        </w:numPr>
        <w:ind w:hanging="0" w:start="0"/>
        <w:rPr>
          <w:vanish/>
          <w:color w:val="FF0000"/>
        </w:rPr>
      </w:pPr>
      <w:bookmarkStart w:id="30" w:name="__RefHeading___Toc513389509"/>
      <w:bookmarkEnd w:id="30"/>
      <w:r>
        <w:rPr/>
        <w:t>Remedies</w:t>
      </w:r>
      <w:r>
        <w:rPr>
          <w:u w:val="none"/>
        </w:rPr>
        <w:t>.</w:t>
      </w:r>
    </w:p>
    <w:p>
      <w:pPr>
        <w:pStyle w:val="Legal2L2"/>
        <w:numPr>
          <w:ilvl w:val="0"/>
          <w:numId w:val="0"/>
        </w:numPr>
        <w:ind w:firstLine="720" w:start="0" w:end="0"/>
        <w:rPr>
          <w:vanish/>
          <w:color w:val="FF0000"/>
          <w:u w:val="none"/>
        </w:rPr>
      </w:pPr>
      <w:r>
        <w:rPr>
          <w:vanish/>
          <w:color w:val="FF0000"/>
          <w:u w:val="none"/>
        </w:rPr>
      </w:r>
    </w:p>
    <w:p>
      <w:pPr>
        <w:pStyle w:val="Legal2L2"/>
        <w:numPr>
          <w:ilvl w:val="0"/>
          <w:numId w:val="0"/>
        </w:numPr>
        <w:ind w:firstLine="720" w:start="0" w:end="0"/>
        <w:rPr>
          <w:vanish/>
          <w:color w:val="FF0000"/>
        </w:rPr>
      </w:pPr>
      <w:r>
        <w:rPr>
          <w:vanish/>
          <w:color w:val="FF0000"/>
        </w:rPr>
        <w:t xml:space="preserve"> </w:t>
      </w:r>
    </w:p>
    <w:p>
      <w:pPr>
        <w:pStyle w:val="Legal2L3"/>
        <w:numPr>
          <w:ilvl w:val="2"/>
          <w:numId w:val="3"/>
        </w:numPr>
        <w:ind w:hanging="0" w:start="0"/>
        <w:rPr/>
      </w:pPr>
      <w:r>
        <w:rPr/>
        <w:t>Upon the occurrence and during the continuance of an Event of Default, the Party not in default shall have the right, in its sole and absolute discretion, to do any or all of the following actions with respect to the Party in default (the “</w:t>
      </w:r>
      <w:r>
        <w:rPr>
          <w:i/>
        </w:rPr>
        <w:t>Defaulting Party</w:t>
      </w:r>
      <w:r>
        <w:rPr/>
        <w:t xml:space="preserve">”): (i) terminate this Agreement; (ii) obtain specific performance of the Defaulting Party’s obligations hereunder or (iii) subject to Article XI, pursue any and all other remedies available at law or in equity.  </w:t>
      </w:r>
    </w:p>
    <w:p>
      <w:pPr>
        <w:pStyle w:val="Legal2L3"/>
        <w:numPr>
          <w:ilvl w:val="2"/>
          <w:numId w:val="3"/>
        </w:numPr>
        <w:ind w:hanging="0" w:start="0"/>
        <w:rPr/>
      </w:pPr>
      <w:r>
        <w:rPr/>
        <w:t xml:space="preserve">Except as provided in </w:t>
      </w:r>
      <w:r>
        <w:rPr>
          <w:u w:val="single"/>
        </w:rPr>
        <w:t>Section 6.2(a)</w:t>
      </w:r>
      <w:r>
        <w:rPr/>
        <w:t>, no remedy conferred by any of the provisions of this Agreement in respect of any breach or non-observance of any of its terms is intended to be exclusive of any other remedy which is otherwise available at law, in equity, by statute or otherwise, and each and every other remedy shall be cumulative and shall be in addition to every other remedy given hereunder or now or hereafter existing at law, in equity, by statute or otherwise.  The election of any one or more of such remedies by either Party shall not constitute a waiver by such Party of the right to pursue any other available remedies.</w:t>
      </w:r>
    </w:p>
    <w:p>
      <w:pPr>
        <w:pStyle w:val="Legal2L2"/>
        <w:numPr>
          <w:ilvl w:val="1"/>
          <w:numId w:val="3"/>
        </w:numPr>
        <w:ind w:hanging="0" w:start="0"/>
        <w:rPr>
          <w:vanish/>
          <w:color w:val="FF0000"/>
        </w:rPr>
      </w:pPr>
      <w:bookmarkStart w:id="31" w:name="__RefHeading___Toc513389510"/>
      <w:r>
        <w:rPr/>
        <w:t>Survival</w:t>
      </w:r>
      <w:r>
        <w:rPr>
          <w:u w:val="none"/>
        </w:rPr>
        <w:t>.</w:t>
      </w:r>
      <w:bookmarkEnd w:id="31"/>
      <w:r>
        <w:rPr>
          <w:u w:val="none"/>
        </w:rPr>
        <w:t xml:space="preserve">  </w:t>
      </w:r>
    </w:p>
    <w:p>
      <w:pPr>
        <w:pStyle w:val="BodyText"/>
        <w:rPr/>
      </w:pPr>
      <w:r>
        <w:rPr/>
        <w:t>Except as otherwise set forth in this Agreement, expiration or termination of this Agreement shall not affect any rights or obligations which have arisen or accrued before such expiration or termination, including any in respect of antecedent breach.</w:t>
      </w:r>
    </w:p>
    <w:p>
      <w:pPr>
        <w:pStyle w:val="BodyText"/>
        <w:rPr/>
      </w:pPr>
      <w:r>
        <w:rPr/>
      </w:r>
    </w:p>
    <w:p>
      <w:pPr>
        <w:pStyle w:val="Legal2L1"/>
        <w:numPr>
          <w:ilvl w:val="0"/>
          <w:numId w:val="3"/>
        </w:numPr>
        <w:ind w:hanging="0" w:start="0"/>
        <w:rPr/>
      </w:pPr>
      <w:bookmarkStart w:id="32" w:name="__RefHeading___Toc513389511"/>
      <w:bookmarkEnd w:id="32"/>
      <w:r>
        <w:rPr/>
        <w:t>Indemnification</w:t>
      </w:r>
    </w:p>
    <w:p>
      <w:pPr>
        <w:pStyle w:val="Legal2L2"/>
        <w:numPr>
          <w:ilvl w:val="1"/>
          <w:numId w:val="3"/>
        </w:numPr>
        <w:ind w:hanging="0" w:start="0"/>
        <w:rPr>
          <w:vanish/>
          <w:color w:val="FF0000"/>
        </w:rPr>
      </w:pPr>
      <w:bookmarkStart w:id="33" w:name="__RefHeading___Toc513389512"/>
      <w:r>
        <w:rPr/>
        <w:t>Indemnification by Contractor</w:t>
      </w:r>
      <w:r>
        <w:rPr>
          <w:u w:val="none"/>
        </w:rPr>
        <w:t>.</w:t>
      </w:r>
      <w:bookmarkEnd w:id="33"/>
      <w:r>
        <w:rPr>
          <w:u w:val="none"/>
        </w:rPr>
        <w:t xml:space="preserve"> </w:t>
      </w:r>
    </w:p>
    <w:p>
      <w:pPr>
        <w:pStyle w:val="BodyText"/>
        <w:rPr/>
      </w:pPr>
      <w:r>
        <w:rPr/>
        <w:t>Contractor shall indemnify, defend, reimburse and hold harmless Owner and its Affiliates and Representatives (collectively, the “</w:t>
      </w:r>
      <w:r>
        <w:rPr>
          <w:i/>
        </w:rPr>
        <w:t>Owner Indemnified Parties</w:t>
      </w:r>
      <w:r>
        <w:rPr/>
        <w:t xml:space="preserve">”) from and against any and all Losses to third parties (including reasonable attorney's fees and including, without limitation, penalties or fines imposed by Governmental Authorities) arising as a result of Contractor's breach of its obligations under this Agreement, including, without limitation, Losses incurred in connection with damage to property, except to the extent any such Losses are caused by the Owner Indemnified Party’s gross negligence or intentional misconduct. </w:t>
      </w:r>
    </w:p>
    <w:p>
      <w:pPr>
        <w:pStyle w:val="Legal2L2"/>
        <w:numPr>
          <w:ilvl w:val="1"/>
          <w:numId w:val="3"/>
        </w:numPr>
        <w:ind w:hanging="0" w:start="0"/>
        <w:rPr>
          <w:vanish/>
          <w:color w:val="FF0000"/>
        </w:rPr>
      </w:pPr>
      <w:bookmarkStart w:id="34" w:name="__RefHeading___Toc513389513"/>
      <w:r>
        <w:rPr/>
        <w:t>Indemnification by Owner</w:t>
      </w:r>
      <w:r>
        <w:rPr>
          <w:u w:val="none"/>
        </w:rPr>
        <w:t>.</w:t>
      </w:r>
      <w:bookmarkEnd w:id="34"/>
      <w:r>
        <w:rPr>
          <w:u w:val="none"/>
        </w:rPr>
        <w:t xml:space="preserve"> </w:t>
      </w:r>
    </w:p>
    <w:p>
      <w:pPr>
        <w:pStyle w:val="BodyText"/>
        <w:rPr/>
      </w:pPr>
      <w:r>
        <w:rPr/>
        <w:t>Owner shall indemnify, defend, reimburse and hold harmless Contractor and its Affiliates and Representatives (collectively, the “</w:t>
      </w:r>
      <w:r>
        <w:rPr>
          <w:i/>
        </w:rPr>
        <w:t>Contractor Indemnified Parties</w:t>
      </w:r>
      <w:r>
        <w:rPr/>
        <w:t>”) from and against any and all losses, claims, damages or liabilities (“</w:t>
      </w:r>
      <w:r>
        <w:rPr>
          <w:i/>
        </w:rPr>
        <w:t>Losses</w:t>
      </w:r>
      <w:r>
        <w:rPr/>
        <w:t xml:space="preserve">”) to third parties (including reasonable attorney's fees and including, without limitation, penalties or fines imposed by Governmental Authorities) arising as a result of Owner’s breach of its obligations under this Agreement, including, without limitation, Losses incurred in connection with damage to property, except to the extent any such Losses are caused by a Contractor Indemnified Party’s gross negligence or intentional misconduct. </w:t>
      </w:r>
    </w:p>
    <w:p>
      <w:pPr>
        <w:pStyle w:val="Legal2L2"/>
        <w:numPr>
          <w:ilvl w:val="1"/>
          <w:numId w:val="3"/>
        </w:numPr>
        <w:ind w:hanging="0" w:start="0"/>
        <w:rPr>
          <w:vanish/>
          <w:color w:val="FF0000"/>
        </w:rPr>
      </w:pPr>
      <w:bookmarkStart w:id="35" w:name="__RefHeading___Toc513389514"/>
      <w:r>
        <w:rPr/>
        <w:t>Conduct of Claims</w:t>
      </w:r>
      <w:r>
        <w:rPr>
          <w:u w:val="none"/>
        </w:rPr>
        <w:t>.</w:t>
      </w:r>
      <w:bookmarkEnd w:id="35"/>
      <w:r>
        <w:rPr>
          <w:u w:val="none"/>
        </w:rPr>
        <w:t xml:space="preserve"> </w:t>
      </w:r>
      <w:r>
        <w:rPr>
          <w:vanish/>
          <w:color w:val="FF0000"/>
        </w:rPr>
        <w:t xml:space="preserve"> </w:t>
      </w:r>
    </w:p>
    <w:p>
      <w:pPr>
        <w:pStyle w:val="BodyText"/>
        <w:rPr/>
      </w:pPr>
      <w:r>
        <w:rPr/>
        <w:t>If a claim by a third party is made against either a Contractor Indemnified Party or an Owner Indemnified Party (an “</w:t>
      </w:r>
      <w:r>
        <w:rPr>
          <w:i/>
        </w:rPr>
        <w:t>Indemnified Party</w:t>
      </w:r>
      <w:r>
        <w:rPr/>
        <w:t xml:space="preserve">), and if such Indemnified Party intends to seek indemnity with respect thereto under </w:t>
      </w:r>
      <w:r>
        <w:rPr>
          <w:u w:val="single"/>
        </w:rPr>
        <w:t>Section 7.1</w:t>
      </w:r>
      <w:r>
        <w:rPr/>
        <w:t xml:space="preserve"> or </w:t>
      </w:r>
      <w:r>
        <w:rPr>
          <w:u w:val="single"/>
        </w:rPr>
        <w:t>Section 7.2</w:t>
      </w:r>
      <w:r>
        <w:rPr/>
        <w:t>, such Indemnified Party shall promptly furnish written notice to the other Party (“</w:t>
      </w:r>
      <w:r>
        <w:rPr>
          <w:i/>
        </w:rPr>
        <w:t>Indemnifying Party</w:t>
      </w:r>
      <w:r>
        <w:rPr/>
        <w:t>”) of such claim.  The failure of an Indemnified Party to deliver prompt written notice of a claim shall not affect the indemnity obligations of the Indemnifying Party hereunder except to the extent the Indemnifying Party was substantially disadvantaged by such delay in delivering notice of such claim.  The Indemnifying Party shall have thirty (30) days after receipt of such notice to undertake, conduct, and control (through counsel of its own choosing and at its own expense) the settlement or defense thereof, and the Indemnified Party shall cooperate with it in connection therewith.  The Indemnifying Party shall permit the Indemnified Party to participate in such settlement or defense through counsel chosen by such Indemnified Party (but the fees and expenses of such counsel shall be borne by such Indemnified Party).  So long as the Indemnifying Party, at the Indemnifying Party’s cost and expense, (i) has undertaken the defense of, and assumed full responsibility for all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and its Affiliates for payment of such claim, the Indemnified Party shall not pay or settle any such claim.  Notwithstanding compliance by the Indemnifying Party with the preceding sentence, the  Indemnified Party shall have the right to pay or settle any such claim, but in such event it shall waive any right to indemnity by the Indemnifying Party for such claim.  If within thirty (30) days after the receipt of the Indemnified Party’s notice of a claim of indemnity hereunder, the Indemnifying Party does not notify the Indemnified Party that it elects (at the Indemnifying Party’s cost and expense) to undertake the defense thereof and assumes full responsibility for all liabilities with respect thereto, or gives such notice and thereafter fails to contest such claim in good faith or to prevent action to foreclose a lien against or attachment of the property of the Indemnified Party or its Affiliates as contemplated above, the Indemnified Party shall have the right to contest, settle, or compromise such claim and the Indemnified Party shall not thereby waive any right to indemnity for such claim under this Agreement.</w:t>
      </w:r>
    </w:p>
    <w:p>
      <w:pPr>
        <w:pStyle w:val="Legal2L2"/>
        <w:numPr>
          <w:ilvl w:val="1"/>
          <w:numId w:val="3"/>
        </w:numPr>
        <w:ind w:hanging="0" w:start="0"/>
        <w:rPr>
          <w:vanish/>
          <w:color w:val="FF0000"/>
        </w:rPr>
      </w:pPr>
      <w:bookmarkStart w:id="36" w:name="__RefHeading___Toc513389515"/>
      <w:r>
        <w:rPr/>
        <w:t>Non-Assumption of Liabilities</w:t>
      </w:r>
      <w:r>
        <w:rPr>
          <w:u w:val="none"/>
        </w:rPr>
        <w:t>.</w:t>
      </w:r>
      <w:bookmarkEnd w:id="36"/>
      <w:r>
        <w:rPr>
          <w:u w:val="none"/>
        </w:rPr>
        <w:t xml:space="preserve">  </w:t>
      </w:r>
    </w:p>
    <w:p>
      <w:pPr>
        <w:pStyle w:val="BodyText"/>
        <w:rPr/>
      </w:pPr>
      <w:r>
        <w:rPr/>
        <w:t xml:space="preserve">Contractor shall not, by entering into this Agreement or providing management services to the Owner, assume or become liable for any of the obligations, debts or other liabilities of the Owner. </w:t>
      </w:r>
    </w:p>
    <w:p>
      <w:pPr>
        <w:pStyle w:val="BodyText"/>
        <w:rPr/>
      </w:pPr>
      <w:r>
        <w:rPr/>
      </w:r>
    </w:p>
    <w:p>
      <w:pPr>
        <w:pStyle w:val="Legal2L1"/>
        <w:numPr>
          <w:ilvl w:val="0"/>
          <w:numId w:val="3"/>
        </w:numPr>
        <w:ind w:hanging="0" w:start="0"/>
        <w:rPr/>
      </w:pPr>
      <w:bookmarkStart w:id="37" w:name="__RefHeading___Toc513389516"/>
      <w:bookmarkEnd w:id="37"/>
      <w:r>
        <w:rPr/>
        <w:t>Force Majeure; Limitation of Liability</w:t>
      </w:r>
    </w:p>
    <w:p>
      <w:pPr>
        <w:pStyle w:val="Legal2L2"/>
        <w:numPr>
          <w:ilvl w:val="1"/>
          <w:numId w:val="3"/>
        </w:numPr>
        <w:ind w:hanging="0" w:start="0"/>
        <w:rPr>
          <w:vanish/>
          <w:color w:val="FF0000"/>
        </w:rPr>
      </w:pPr>
      <w:bookmarkStart w:id="38" w:name="__RefHeading___Toc513389517"/>
      <w:r>
        <w:rPr/>
        <w:t>Force Majeure</w:t>
      </w:r>
      <w:r>
        <w:rPr>
          <w:u w:val="none"/>
        </w:rPr>
        <w:t>.</w:t>
      </w:r>
      <w:bookmarkEnd w:id="38"/>
      <w:r>
        <w:rPr>
          <w:u w:val="none"/>
        </w:rPr>
        <w:t xml:space="preserve">  </w:t>
      </w:r>
    </w:p>
    <w:p>
      <w:pPr>
        <w:pStyle w:val="BodyText"/>
        <w:rPr/>
      </w:pPr>
      <w:r>
        <w:rPr/>
        <w:t>Each Party shall be excused from performance hereunder and shall not be considered to be in default with respect to any obligation hereunder if and to the extent that its failure of, or delay in, performance is due to an event of Force Majeure.  The Party affected by a Force Majeure event shall:</w:t>
      </w:r>
    </w:p>
    <w:p>
      <w:pPr>
        <w:pStyle w:val="Legal2L3"/>
        <w:numPr>
          <w:ilvl w:val="2"/>
          <w:numId w:val="3"/>
        </w:numPr>
        <w:ind w:hanging="0" w:start="0"/>
        <w:rPr/>
      </w:pPr>
      <w:r>
        <w:rPr/>
        <w:t>give the other Party written notice describing the particulars of the Force Majeure as soon as is reasonably practicable but in no event later than ten (10) Business Days after the Party first becomes aware of the occurrence or commencement of such event;</w:t>
      </w:r>
    </w:p>
    <w:p>
      <w:pPr>
        <w:pStyle w:val="Legal2L3"/>
        <w:numPr>
          <w:ilvl w:val="2"/>
          <w:numId w:val="3"/>
        </w:numPr>
        <w:ind w:hanging="0" w:start="0"/>
        <w:rPr/>
      </w:pPr>
      <w:r>
        <w:rPr/>
        <w:t>use reasonable efforts to overcome or mitigate the effects of such occurrence; provided, however that Contractor shall not have any obligation to settle any strike; and</w:t>
      </w:r>
    </w:p>
    <w:p>
      <w:pPr>
        <w:pStyle w:val="Legal2L3"/>
        <w:numPr>
          <w:ilvl w:val="2"/>
          <w:numId w:val="3"/>
        </w:numPr>
        <w:ind w:hanging="0" w:start="0"/>
        <w:rPr/>
      </w:pPr>
      <w:r>
        <w:rPr/>
        <w:t>resume performance of its obligations under this Agreement as soon as reasonably practicable.</w:t>
      </w:r>
    </w:p>
    <w:p>
      <w:pPr>
        <w:pStyle w:val="Legal2L3"/>
        <w:numPr>
          <w:ilvl w:val="0"/>
          <w:numId w:val="0"/>
        </w:numPr>
        <w:ind w:hanging="0" w:start="0"/>
        <w:rPr/>
      </w:pPr>
      <w:r>
        <w:rPr/>
        <w:t>In the event that performance by either Party hereunder is suspended due to events of Force Majeure or the effects thereof for a period in excess of [ninety (90) days] in the aggregate during the Term, the Party which has not suspended performance hereunder shall have the right to terminate this Agreement upon five (5) days prior written notice to the other Party.</w:t>
      </w:r>
    </w:p>
    <w:p>
      <w:pPr>
        <w:pStyle w:val="Legal2L2"/>
        <w:numPr>
          <w:ilvl w:val="1"/>
          <w:numId w:val="3"/>
        </w:numPr>
        <w:ind w:hanging="0" w:start="0"/>
        <w:rPr>
          <w:vanish/>
          <w:color w:val="FF0000"/>
        </w:rPr>
      </w:pPr>
      <w:bookmarkStart w:id="39" w:name="__RefHeading___Toc513389518"/>
      <w:r>
        <w:rPr/>
        <w:t>Limitation of Liability</w:t>
      </w:r>
      <w:r>
        <w:rPr>
          <w:u w:val="none"/>
        </w:rPr>
        <w:t>.</w:t>
      </w:r>
      <w:bookmarkEnd w:id="39"/>
      <w:r>
        <w:rPr>
          <w:u w:val="none"/>
        </w:rPr>
        <w:t xml:space="preserve">  </w:t>
      </w:r>
    </w:p>
    <w:p>
      <w:pPr>
        <w:pStyle w:val="BodyText"/>
        <w:rPr/>
      </w:pPr>
      <w:r>
        <w:rPr/>
        <w:t>Notwithstanding anything herein to the contrary, the remedies provided herein are exclusive and under no circumstances shall the maximum aggregate liability of either Party for damages under this Agreement exceed one hundred percent (100%) of an amount equal to [______________] (the "</w:t>
      </w:r>
      <w:r>
        <w:rPr>
          <w:i/>
        </w:rPr>
        <w:t>Aggregate Limit</w:t>
      </w:r>
      <w:r>
        <w:rPr/>
        <w:t>"), but in no event shall such Aggregate Limit apply to acts of fraud, gross negligence or willful misconduct on the part of either Party. The Aggregate Limit is the total aggregate liability of each Party under any theory of recovery, and includes but is not limited to liquidated damages, warranty obligations, tort (including negligence), breach of contract (including any breach resulting in termination) and indemnity obligations.</w:t>
      </w:r>
    </w:p>
    <w:p>
      <w:pPr>
        <w:pStyle w:val="Legal2L2"/>
        <w:numPr>
          <w:ilvl w:val="1"/>
          <w:numId w:val="3"/>
        </w:numPr>
        <w:ind w:hanging="0" w:start="0"/>
        <w:rPr>
          <w:vanish/>
          <w:color w:val="FF0000"/>
        </w:rPr>
      </w:pPr>
      <w:bookmarkStart w:id="40" w:name="__RefHeading___Toc513389519"/>
      <w:r>
        <w:rPr/>
        <w:t>Waiver of Consequential Damages</w:t>
      </w:r>
      <w:r>
        <w:rPr>
          <w:u w:val="none"/>
        </w:rPr>
        <w:t>.</w:t>
      </w:r>
      <w:bookmarkEnd w:id="40"/>
      <w:r>
        <w:rPr>
          <w:u w:val="none"/>
        </w:rPr>
        <w:t xml:space="preserve">  </w:t>
      </w:r>
    </w:p>
    <w:p>
      <w:pPr>
        <w:pStyle w:val="BodyText"/>
        <w:rPr/>
      </w:pPr>
      <w:r>
        <w:rPr/>
        <w:t>FOR BREACH OF ANY PROVISION FOR WHICH AN EXPRESS REMEDY OR MEASURE OF DAMAGES IS PROVIDED, SUCH EXPRESS REMEDY OR MEASURE OF DAMAGES SHALL BE THE SOLE AND EXCLUSIVE REMEDY, THE PARTY’S LIABILITY SHALL BE LIMITED AS SET FORTH IN SUCH PROVISION AND ALL OTHER REMEDIES OR DAMAGES AT LAW OR IN EQUITY ARE WAIVED.  IF NO REMEDY OR MEASURE OF DAMAGES IS EXPRESSLY PROVIDED IN THIS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Legal2L1"/>
        <w:numPr>
          <w:ilvl w:val="0"/>
          <w:numId w:val="3"/>
        </w:numPr>
        <w:ind w:hanging="0" w:start="0"/>
        <w:rPr/>
      </w:pPr>
      <w:bookmarkStart w:id="41" w:name="__RefHeading___Toc513389520"/>
      <w:bookmarkEnd w:id="41"/>
      <w:r>
        <w:rPr/>
        <w:t>Confidentiality Of Information</w:t>
      </w:r>
    </w:p>
    <w:p>
      <w:pPr>
        <w:pStyle w:val="Legal2L2"/>
        <w:numPr>
          <w:ilvl w:val="1"/>
          <w:numId w:val="3"/>
        </w:numPr>
        <w:ind w:hanging="0" w:start="0"/>
        <w:rPr>
          <w:vanish/>
          <w:color w:val="FF0000"/>
        </w:rPr>
      </w:pPr>
      <w:bookmarkStart w:id="42" w:name="__RefHeading___Toc513389521"/>
      <w:r>
        <w:rPr/>
        <w:t>Confidentiality</w:t>
      </w:r>
      <w:r>
        <w:rPr>
          <w:u w:val="none"/>
        </w:rPr>
        <w:t>.</w:t>
      </w:r>
      <w:bookmarkEnd w:id="42"/>
      <w:r>
        <w:rPr>
          <w:u w:val="none"/>
        </w:rPr>
        <w:t xml:space="preserve">  </w:t>
      </w:r>
    </w:p>
    <w:p>
      <w:pPr>
        <w:pStyle w:val="Normal"/>
        <w:widowControl w:val="false"/>
        <w:tabs>
          <w:tab w:val="clear" w:pos="720"/>
          <w:tab w:val="left" w:pos="5440" w:leader="none"/>
          <w:tab w:val="left" w:pos="6120" w:leader="none"/>
        </w:tabs>
        <w:ind w:start="-20" w:end="80"/>
        <w:jc w:val="both"/>
        <w:rPr>
          <w:lang w:eastAsia="en-US"/>
        </w:rPr>
      </w:pPr>
      <w:r>
        <w:rPr>
          <w:lang w:eastAsia="en-US"/>
        </w:rPr>
        <w:t>No Party shall disclose the terms of this Agreement to a third party (other than such Party’s and its Affiliates’ employees, lenders, counsel or accountants) except in order to comply with any Applicable Law, order, regulatory or exchange rule or any control area, independent system operator or RTO rule; provided each Party shall notify the other Party of any proceeding of which it is aware that may result in disclosure and use reasonable efforts to prevent or limit the disclosure. The Parties shall be entitled to all remedies available at law or in equity to enforce, or seek relief in connection with, this confidentiality obligation.</w:t>
      </w:r>
    </w:p>
    <w:p>
      <w:pPr>
        <w:pStyle w:val="Normal"/>
        <w:widowControl w:val="false"/>
        <w:tabs>
          <w:tab w:val="clear" w:pos="720"/>
          <w:tab w:val="left" w:pos="5440" w:leader="none"/>
          <w:tab w:val="left" w:pos="6120" w:leader="none"/>
        </w:tabs>
        <w:ind w:start="-20" w:end="80"/>
        <w:rPr>
          <w:lang w:eastAsia="en-US"/>
        </w:rPr>
      </w:pPr>
      <w:r>
        <w:rPr>
          <w:lang w:eastAsia="en-US"/>
        </w:rPr>
      </w:r>
    </w:p>
    <w:p>
      <w:pPr>
        <w:pStyle w:val="Legal2L1"/>
        <w:numPr>
          <w:ilvl w:val="0"/>
          <w:numId w:val="3"/>
        </w:numPr>
        <w:ind w:hanging="0" w:start="0"/>
        <w:rPr/>
      </w:pPr>
      <w:bookmarkStart w:id="43" w:name="__RefHeading___Toc513389522"/>
      <w:bookmarkEnd w:id="43"/>
      <w:r>
        <w:rPr/>
        <w:t>Disputes; Governing Law</w:t>
      </w:r>
    </w:p>
    <w:p>
      <w:pPr>
        <w:pStyle w:val="Legal2L2"/>
        <w:numPr>
          <w:ilvl w:val="1"/>
          <w:numId w:val="3"/>
        </w:numPr>
        <w:ind w:hanging="0" w:start="0"/>
        <w:rPr>
          <w:vanish/>
          <w:color w:val="FF0000"/>
        </w:rPr>
      </w:pPr>
      <w:bookmarkStart w:id="44" w:name="__RefHeading___Toc513389523"/>
      <w:r>
        <w:rPr/>
        <w:t>Dispute Resolution</w:t>
      </w:r>
      <w:r>
        <w:rPr>
          <w:u w:val="none"/>
        </w:rPr>
        <w:t>.</w:t>
      </w:r>
      <w:bookmarkEnd w:id="44"/>
      <w:r>
        <w:rPr>
          <w:u w:val="none"/>
        </w:rPr>
        <w:t xml:space="preserve"> </w:t>
      </w:r>
    </w:p>
    <w:p>
      <w:pPr>
        <w:pStyle w:val="Legal2L2"/>
        <w:numPr>
          <w:ilvl w:val="0"/>
          <w:numId w:val="0"/>
        </w:numPr>
        <w:ind w:firstLine="720" w:start="0" w:end="0"/>
        <w:rPr>
          <w:vanish/>
          <w:color w:val="FF0000"/>
          <w:u w:val="none"/>
        </w:rPr>
      </w:pPr>
      <w:r>
        <w:rPr>
          <w:vanish/>
          <w:color w:val="FF0000"/>
          <w:u w:val="none"/>
        </w:rPr>
      </w:r>
    </w:p>
    <w:p>
      <w:pPr>
        <w:pStyle w:val="Legal2L2"/>
        <w:numPr>
          <w:ilvl w:val="0"/>
          <w:numId w:val="0"/>
        </w:numPr>
        <w:tabs>
          <w:tab w:val="clear" w:pos="720"/>
          <w:tab w:val="left" w:pos="1440" w:leader="none"/>
        </w:tabs>
        <w:ind w:firstLine="720" w:start="0" w:end="0"/>
        <w:rPr>
          <w:vanish/>
          <w:color w:val="FF0000"/>
          <w:u w:val="none"/>
        </w:rPr>
      </w:pPr>
      <w:r>
        <w:rPr>
          <w:vanish/>
          <w:color w:val="FF0000"/>
          <w:u w:val="none"/>
        </w:rPr>
      </w:r>
    </w:p>
    <w:p>
      <w:pPr>
        <w:pStyle w:val="Legal2L3"/>
        <w:numPr>
          <w:ilvl w:val="2"/>
          <w:numId w:val="3"/>
        </w:numPr>
        <w:tabs>
          <w:tab w:val="clear" w:pos="720"/>
          <w:tab w:val="left" w:pos="1440" w:leader="none"/>
        </w:tabs>
        <w:ind w:firstLine="720" w:start="0" w:end="0"/>
        <w:rPr/>
      </w:pPr>
      <w:r>
        <w:rPr/>
        <w:t>Any claim, counterclaim, demand, cause of action, dispute, and controversy arising out of or relating to this Agreement (or any agreement delivered in connection with this Agreement) or in any way relating to the subject matter of this Agreement involving the Parties or their representatives (each a “</w:t>
      </w:r>
      <w:r>
        <w:rPr>
          <w:i/>
        </w:rPr>
        <w:t>Dispute</w:t>
      </w:r>
      <w:r>
        <w:rPr/>
        <w:t>”), even if such Disputes allegedly are extra-contractual in nature, sound in contract, tort or otherwise, or arise under state or federal law, shall be resolved by final and binding arbitration.  Arbitration shall be conducted in accordance with the commercial arbitration rules of the American Arbitration Association (the “</w:t>
      </w:r>
      <w:r>
        <w:rPr>
          <w:i/>
        </w:rPr>
        <w:t>AAA Rules</w:t>
      </w:r>
      <w:r>
        <w:rPr/>
        <w:t xml:space="preserve">”).  The validity, construction and interpretation of this agreement to arbitrate, and all other procedural aspects of the arbitration conducted pursuant hereto shall be decided by the arbitrators.  In deciding the substance of the Parties’ Dispute, the arbitrators shall refer to the governing law.  The arbitrators shall have no authority to make any award inconsistent with the limitations set forth herein, including any award for treble, consequential, exemplary, or punitive damages of any type under any circumstances whether or not such damages may be available under state or federal law,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New York County, New York.  </w:t>
      </w:r>
    </w:p>
    <w:p>
      <w:pPr>
        <w:pStyle w:val="Heading2"/>
        <w:ind w:firstLine="720" w:start="0" w:end="0"/>
        <w:rPr>
          <w:rFonts w:ascii="Times New Roman" w:hAnsi="Times New Roman" w:cs="Times New Roman"/>
          <w:b w:val="false"/>
        </w:rPr>
      </w:pPr>
      <w:r>
        <w:rPr>
          <w:rFonts w:cs="Times New Roman" w:ascii="Times New Roman" w:hAnsi="Times New Roman"/>
          <w:b w:val="false"/>
        </w:rPr>
        <w:t>(b)</w:t>
        <w:tab/>
        <w:t xml:space="preserve">Within thirty (30) days of the notice of initiation of the arbitration procedure, each Party shall select one arbitrator.  If a Party fails to select its arbitrator within such period, its arbitrator shall be appointed pursuant to the AAA Rules.  The two arbitrators shall select a third arbitrator within fifteen (15) days after both have been appointed; provided that, if such two arbitrators fail to appoint a third arbitrator, such third arbitrator shall be appointed pursuant to the AAA Rules.  Each arbitrator shall be a Person who is generally experienced in transactions involving power generation facilities and is not an Affiliate of and who has not previously been employed by either Party and does not have a direct or indirect interest in either Party or in any Person having an ownership interest in either Party or the subject matter of the arbitration. </w:t>
      </w:r>
    </w:p>
    <w:p>
      <w:pPr>
        <w:pStyle w:val="Normal"/>
        <w:rPr>
          <w:rFonts w:ascii="Times New Roman" w:hAnsi="Times New Roman" w:cs="Times New Roman"/>
          <w:b/>
        </w:rPr>
      </w:pPr>
      <w:r>
        <w:rPr>
          <w:rFonts w:cs="Times New Roman"/>
          <w:b/>
        </w:rPr>
      </w:r>
    </w:p>
    <w:p>
      <w:pPr>
        <w:pStyle w:val="Heading2"/>
        <w:ind w:firstLine="720" w:start="0" w:end="0"/>
        <w:rPr>
          <w:rFonts w:ascii="Times New Roman" w:hAnsi="Times New Roman" w:cs="Times New Roman"/>
          <w:b w:val="false"/>
        </w:rPr>
      </w:pPr>
      <w:r>
        <w:rPr>
          <w:rFonts w:cs="Times New Roman" w:ascii="Times New Roman" w:hAnsi="Times New Roman"/>
          <w:b w:val="false"/>
        </w:rPr>
        <w:t>(c)</w:t>
        <w:tab/>
        <w:t xml:space="preserve">To the fullest extent permitted by law, any arbitration proceeding and the arbitrators award shall be maintained in confidence by the Parties. </w:t>
      </w:r>
    </w:p>
    <w:p>
      <w:pPr>
        <w:pStyle w:val="Normal"/>
        <w:rPr>
          <w:rFonts w:ascii="Times New Roman" w:hAnsi="Times New Roman" w:cs="Times New Roman"/>
          <w:b/>
        </w:rPr>
      </w:pPr>
      <w:r>
        <w:rPr>
          <w:rFonts w:cs="Times New Roman"/>
          <w:b/>
        </w:rPr>
      </w:r>
    </w:p>
    <w:p>
      <w:pPr>
        <w:pStyle w:val="Normal"/>
        <w:ind w:firstLine="720" w:end="0"/>
        <w:rPr/>
      </w:pPr>
      <w:r>
        <w:rPr/>
        <w:t>(d)</w:t>
        <w:tab/>
        <w:t>Each Party hereby agrees that in any Dispute arising hereunder that has issues of law or fact common to a dispute under any other Transaction Document, such Party shall agree to have the Dispute settled pursuant to a common arbitration proceeding, and each Party and its Affiliates shall be deemed to be a single party for purposes of this agreement to arbitrate.</w:t>
      </w:r>
    </w:p>
    <w:p>
      <w:pPr>
        <w:pStyle w:val="BodyText"/>
        <w:rPr/>
      </w:pPr>
      <w:r>
        <w:rPr/>
      </w:r>
    </w:p>
    <w:p>
      <w:pPr>
        <w:pStyle w:val="Legal2L2"/>
        <w:numPr>
          <w:ilvl w:val="1"/>
          <w:numId w:val="3"/>
        </w:numPr>
        <w:ind w:hanging="0" w:start="0"/>
        <w:rPr>
          <w:vanish/>
          <w:color w:val="FF0000"/>
        </w:rPr>
      </w:pPr>
      <w:bookmarkStart w:id="45" w:name="__RefHeading___Toc513389524"/>
      <w:r>
        <w:rPr/>
        <w:t>Performance to Continue During Dispute</w:t>
      </w:r>
      <w:r>
        <w:rPr>
          <w:u w:val="none"/>
        </w:rPr>
        <w:t>.</w:t>
      </w:r>
      <w:bookmarkEnd w:id="45"/>
      <w:r>
        <w:rPr>
          <w:u w:val="none"/>
        </w:rPr>
        <w:t xml:space="preserve">  </w:t>
      </w:r>
    </w:p>
    <w:p>
      <w:pPr>
        <w:pStyle w:val="BodyText"/>
        <w:rPr/>
      </w:pPr>
      <w:r>
        <w:rPr/>
        <w:t>Each Party shall continue to perform its obligations under this Agreement during arbitration proceedings or any other dispute resolution mechanisms hereunder.</w:t>
      </w:r>
    </w:p>
    <w:p>
      <w:pPr>
        <w:pStyle w:val="Legal2L2"/>
        <w:numPr>
          <w:ilvl w:val="1"/>
          <w:numId w:val="3"/>
        </w:numPr>
        <w:ind w:hanging="0" w:start="0"/>
        <w:rPr>
          <w:vanish/>
          <w:color w:val="FF0000"/>
        </w:rPr>
      </w:pPr>
      <w:bookmarkStart w:id="46" w:name="__RefHeading___Toc513389525"/>
      <w:r>
        <w:rPr/>
        <w:t>Governing Law</w:t>
      </w:r>
      <w:r>
        <w:rPr>
          <w:u w:val="none"/>
        </w:rPr>
        <w:t>.</w:t>
      </w:r>
      <w:bookmarkEnd w:id="46"/>
      <w:r>
        <w:rPr>
          <w:u w:val="none"/>
        </w:rPr>
        <w:t xml:space="preserve">  </w:t>
      </w:r>
    </w:p>
    <w:p>
      <w:pPr>
        <w:pStyle w:val="BodyText"/>
        <w:rPr/>
      </w:pPr>
      <w:r>
        <w:rPr>
          <w:rStyle w:val="Strong"/>
        </w:rPr>
        <w:t>This Agreement and the rights and obligations of the Parties shall be governed by, enforced, and interpreted in accordance with the laws of the State of New York without regard to the principles of conflicts of law (other than Section 5-1401 of the General Obligations Law of the State of New York).</w:t>
      </w:r>
    </w:p>
    <w:p>
      <w:pPr>
        <w:pStyle w:val="Legal2L1"/>
        <w:numPr>
          <w:ilvl w:val="0"/>
          <w:numId w:val="3"/>
        </w:numPr>
        <w:ind w:hanging="0" w:start="0"/>
        <w:rPr>
          <w:u w:val="none"/>
        </w:rPr>
      </w:pPr>
      <w:bookmarkStart w:id="47" w:name="__RefHeading___Toc513389526"/>
      <w:bookmarkEnd w:id="47"/>
      <w:r>
        <w:rPr/>
        <w:t>Relationship of Parties</w:t>
      </w:r>
      <w:r>
        <w:rPr>
          <w:u w:val="none"/>
        </w:rPr>
        <w:t>.</w:t>
      </w:r>
    </w:p>
    <w:p>
      <w:pPr>
        <w:pStyle w:val="Legal2L2"/>
        <w:numPr>
          <w:ilvl w:val="1"/>
          <w:numId w:val="3"/>
        </w:numPr>
        <w:ind w:hanging="0" w:start="0"/>
        <w:rPr>
          <w:vanish/>
          <w:color w:val="FF0000"/>
        </w:rPr>
      </w:pPr>
      <w:bookmarkStart w:id="48" w:name="__RefHeading___Toc513389527"/>
      <w:r>
        <w:rPr/>
        <w:t>Independent Contractor</w:t>
      </w:r>
      <w:r>
        <w:rPr>
          <w:u w:val="none"/>
        </w:rPr>
        <w:t>.</w:t>
      </w:r>
      <w:bookmarkEnd w:id="48"/>
      <w:r>
        <w:rPr>
          <w:u w:val="none"/>
        </w:rPr>
        <w:t xml:space="preserve">  </w:t>
      </w:r>
    </w:p>
    <w:p>
      <w:pPr>
        <w:pStyle w:val="BodyText"/>
        <w:rPr/>
      </w:pPr>
      <w:r>
        <w:rPr/>
        <w:t>The Parties shall not be deemed in a relationship of partners or joint venturers by virtue of this Agreement or in a principal/agent relationship (except as provided herein).  Contractor shall serve as an independent contractor in the performance of its obligations under this Agreement and does not undertake by this Agreement or otherwise to perform any regulatory or contractual obligation of Owner, or to assume any liability for Owner's business or operations.  Except as expressly stated in this Agreement, neither of the Parties shall have any separate obligations or duties, including without limitation any fiduciary duties, other implied duties or obligations to perform.  While Contractor intends to assist Owner in optimizing the value of the Facilities by seeking to maximize net revenues, Contractor shall not be under any obligation to provide Owner with the best prices or opportunities on any of the products to be sold hereunder.  Owner hereby agrees that it retains sole responsibility for deciding the types and terms of the Transactions to be consummated and whether to enter into and maintain the relationship formed by this Agreement.  To the extent that Contractor (or its Affiliates) offers advice or recommendations in connection with the Transactions, Owner agrees that it shall not rely exclusively on such advice in making its decisions.  Contractor shall not be responsible for any business opportunities that may not be realized by Owner.</w:t>
      </w:r>
    </w:p>
    <w:p>
      <w:pPr>
        <w:pStyle w:val="Legal2L2"/>
        <w:numPr>
          <w:ilvl w:val="1"/>
          <w:numId w:val="3"/>
        </w:numPr>
        <w:ind w:hanging="0" w:start="0"/>
        <w:rPr>
          <w:vanish/>
          <w:color w:val="FF0000"/>
        </w:rPr>
      </w:pPr>
      <w:bookmarkStart w:id="49" w:name="__RefHeading___Toc513389528"/>
      <w:r>
        <w:rPr/>
        <w:t>Non-Exclusive Nature</w:t>
      </w:r>
      <w:r>
        <w:rPr>
          <w:u w:val="none"/>
        </w:rPr>
        <w:t>.</w:t>
      </w:r>
      <w:bookmarkEnd w:id="49"/>
      <w:r>
        <w:rPr>
          <w:u w:val="none"/>
        </w:rPr>
        <w:t xml:space="preserve">  </w:t>
      </w:r>
    </w:p>
    <w:p>
      <w:pPr>
        <w:pStyle w:val="BodyText"/>
        <w:rPr/>
      </w:pPr>
      <w:r>
        <w:rPr/>
        <w:t xml:space="preserve">Owner acknowledges that its engagement of Contractor pursuant to this Agreement is non-exclusive with respect to other arrangements that Contractor may wish to enter into and Contractor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Owner or the Facilities.  Contractor and its Affiliates are in the business of (a) buying and selling Energy, Capacity and Ancillary Services throughout the United States and (b) providing scheduling services for itself and for third parties (some of whom may be competitors to Owner) and fully expects to continue to enter into such transactions and perform such services during the Term of this Agreement.  Contractor shall not be under any obligation to disclose such activities to Owner or to offer Owner any interest in such activities.  [Neither this Agreement nor any activity undertaken pursuant hereto shall prevent Contractor from engaging in such activities, require Contractor to disclose the same or otherwise create any liability on the part of Contractor under this Agreement, and as a material part of the consideration for the execution of this Agreement, Owner hereby waives, relinquishes and renounces any such right or claim of notice or participation in such activities.] </w:t>
      </w:r>
    </w:p>
    <w:p>
      <w:pPr>
        <w:pStyle w:val="Legal2L2"/>
        <w:numPr>
          <w:ilvl w:val="1"/>
          <w:numId w:val="3"/>
        </w:numPr>
        <w:ind w:hanging="0" w:start="0"/>
        <w:rPr>
          <w:vanish/>
          <w:color w:val="FF0000"/>
        </w:rPr>
      </w:pPr>
      <w:bookmarkStart w:id="50" w:name="__RefHeading___Toc513389529"/>
      <w:r>
        <w:rPr/>
        <w:t>Multiple Positions</w:t>
      </w:r>
      <w:r>
        <w:rPr>
          <w:u w:val="none"/>
        </w:rPr>
        <w:t>.</w:t>
      </w:r>
      <w:bookmarkEnd w:id="50"/>
      <w:r>
        <w:rPr>
          <w:u w:val="none"/>
        </w:rPr>
        <w:t xml:space="preserve">  </w:t>
      </w:r>
    </w:p>
    <w:p>
      <w:pPr>
        <w:pStyle w:val="BodyText"/>
        <w:rPr/>
      </w:pPr>
      <w:r>
        <w:rPr/>
        <w:t>Owner acknowledges that (a) Contractor's [</w:t>
      </w:r>
      <w:r>
        <w:rPr>
          <w:b/>
        </w:rPr>
        <w:t>SERC</w:t>
      </w:r>
      <w:r>
        <w:rPr/>
        <w:t>] trading book may, at any time, have multiple positions in SERC that may be opposite of some or all of Owner’s positions, including an overall position that may be long or short; and (b) Contractor may act in a different manner for Owner than Contractor would act for its own account due to its maintaining such a trading book (provided however that the foregoing shall not relieve Contractor of its obligation to market and sell Products in accordance with Prudent Trading Practices). Neither this Agreement nor any activity undertaken pursuant hereto shall prevent Contractor from engaging in such activities or require Contractor to disclose the same, and as a material part of the consideration for the execution of this Agreement, Owner hereby waives, relinquishes and renounces any such right or claim of notice or participation in such activities.</w:t>
      </w:r>
    </w:p>
    <w:p>
      <w:pPr>
        <w:pStyle w:val="BodyText"/>
        <w:rPr/>
      </w:pPr>
      <w:r>
        <w:rPr/>
        <w:t>[</w:t>
      </w:r>
      <w:r>
        <w:rPr>
          <w:b/>
          <w:i/>
        </w:rPr>
        <w:t>NEED TO DISCUSS AUDIT RIGHTS AND DISCLOSURE IF CONTRACTOR INTENDS TO PASS THROUGH ANY MARKETING EXPENSES WHICH MAY BE GENERATED BY “GENERAL” MARKET PARTICIPATION</w:t>
      </w:r>
      <w:r>
        <w:rPr/>
        <w:t>]</w:t>
      </w:r>
    </w:p>
    <w:p>
      <w:pPr>
        <w:pStyle w:val="Legal2L1"/>
        <w:numPr>
          <w:ilvl w:val="0"/>
          <w:numId w:val="3"/>
        </w:numPr>
        <w:ind w:hanging="0" w:start="0"/>
        <w:rPr/>
      </w:pPr>
      <w:bookmarkStart w:id="51" w:name="__RefHeading___Toc513389530"/>
      <w:bookmarkEnd w:id="51"/>
      <w:r>
        <w:rPr/>
        <w:t>Miscellaneous</w:t>
      </w:r>
    </w:p>
    <w:p>
      <w:pPr>
        <w:pStyle w:val="Legal2L2"/>
        <w:numPr>
          <w:ilvl w:val="1"/>
          <w:numId w:val="3"/>
        </w:numPr>
        <w:ind w:hanging="0" w:start="0"/>
        <w:rPr>
          <w:vanish/>
          <w:color w:val="FF0000"/>
        </w:rPr>
      </w:pPr>
      <w:bookmarkStart w:id="52" w:name="__RefHeading___Toc513389531"/>
      <w:r>
        <w:rPr/>
        <w:t>Assignment</w:t>
      </w:r>
      <w:r>
        <w:rPr>
          <w:u w:val="none"/>
        </w:rPr>
        <w:t>.</w:t>
      </w:r>
      <w:bookmarkEnd w:id="52"/>
      <w:r>
        <w:rPr>
          <w:u w:val="none"/>
        </w:rPr>
        <w:t xml:space="preserve">  </w:t>
      </w:r>
    </w:p>
    <w:p>
      <w:pPr>
        <w:pStyle w:val="BodyText"/>
        <w:rPr/>
      </w:pPr>
      <w:r>
        <w:rPr/>
        <w:t>The rights and obligations created by this Agreement shall inure to the benefit of, and be binding upon the successors and permitted assigns of the respective Parties.  Except as expressly provided herein, a Party is not permitted to assign its rights and obligations under this Agreement without the prior written consent of the other party; provided, however, (a) Owner may assign this Agreement as collateral for financing purposes and Contractor agrees to execute any and all documents reasonably requested by Owner related thereto to consent to such assignment and (b) Contractor may assign this Agreement to one of its Affiliates upon the prior consent of Owner, which shall not be unreasonably withheld, delayed or conditioned.  However, no assignment shall relieve either Party of its obligations under this Agreement unless the other Party has expressly agreed otherwise.  For purposes hereof (and except as regards any Subsequent Sale (under, and as defined in, the Securities Purchase Agreement)), (i) the transfer of the ownership or voting rights in a controlling interest of the voting stock or membership interests of a Party (if such Party is a corporation or a limited liability company) except as contemplated by the Brokerage Agreement,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w:t>
      </w:r>
    </w:p>
    <w:p>
      <w:pPr>
        <w:pStyle w:val="Legal2L2"/>
        <w:numPr>
          <w:ilvl w:val="1"/>
          <w:numId w:val="3"/>
        </w:numPr>
        <w:ind w:hanging="0" w:start="0"/>
        <w:rPr>
          <w:vanish/>
          <w:color w:val="FF0000"/>
        </w:rPr>
      </w:pPr>
      <w:bookmarkStart w:id="53" w:name="__RefHeading___Toc513389532"/>
      <w:r>
        <w:rPr/>
        <w:t>Severability</w:t>
      </w:r>
      <w:r>
        <w:rPr>
          <w:u w:val="none"/>
        </w:rPr>
        <w:t>.</w:t>
      </w:r>
      <w:bookmarkEnd w:id="53"/>
      <w:r>
        <w:rPr>
          <w:u w:val="none"/>
        </w:rPr>
        <w:t xml:space="preserve">  </w:t>
      </w:r>
    </w:p>
    <w:p>
      <w:pPr>
        <w:pStyle w:val="BodyText"/>
        <w:rPr/>
      </w:pPr>
      <w:r>
        <w:rPr/>
        <w:t>If any term or other provision of this Agreement is invalid, illegal, or incapable of being enforced by any law or public policy, all other conditions and provisions of this Agreement shall nevertheless remain in full force and effect so long as the economic or legal substance of the transactions contemplated hereby is not affected in any adverse manner to a Party.  Upon such determination that any term or other provision is invalid, illegal, or incapable of being enforced, the Parties shall negotiate in good faith to modify this Agreement so as to effect the original intent of the Parties as closely as possible in an acceptable manner to the end that the transactions contemplated hereby are fulfilled to the extent possible.</w:t>
      </w:r>
    </w:p>
    <w:p>
      <w:pPr>
        <w:pStyle w:val="Legal2L2"/>
        <w:numPr>
          <w:ilvl w:val="1"/>
          <w:numId w:val="3"/>
        </w:numPr>
        <w:ind w:hanging="0" w:start="0"/>
        <w:rPr>
          <w:vanish/>
          <w:color w:val="FF0000"/>
        </w:rPr>
      </w:pPr>
      <w:bookmarkStart w:id="54" w:name="__RefHeading___Toc513389533"/>
      <w:r>
        <w:rPr/>
        <w:t>Entire Agreement</w:t>
      </w:r>
      <w:r>
        <w:rPr>
          <w:u w:val="none"/>
        </w:rPr>
        <w:t>.</w:t>
      </w:r>
      <w:bookmarkEnd w:id="54"/>
      <w:r>
        <w:rPr>
          <w:u w:val="none"/>
        </w:rPr>
        <w:t xml:space="preserve">  </w:t>
      </w:r>
    </w:p>
    <w:p>
      <w:pPr>
        <w:pStyle w:val="BodyText"/>
        <w:rPr/>
      </w:pPr>
      <w:r>
        <w:rPr/>
        <w:t>This Agreement contains the complete agreement between Owner and Contractor with respect to the matters contained in this Agreement and supersedes all other Agreements, whether written or oral, with respect to such matters.</w:t>
      </w:r>
    </w:p>
    <w:p>
      <w:pPr>
        <w:pStyle w:val="Legal2L2"/>
        <w:numPr>
          <w:ilvl w:val="1"/>
          <w:numId w:val="3"/>
        </w:numPr>
        <w:ind w:hanging="0" w:start="0"/>
        <w:rPr>
          <w:vanish/>
          <w:color w:val="FF0000"/>
        </w:rPr>
      </w:pPr>
      <w:bookmarkStart w:id="55" w:name="__RefHeading___Toc513389534"/>
      <w:r>
        <w:rPr/>
        <w:t>Amendments and Waivers</w:t>
      </w:r>
      <w:r>
        <w:rPr>
          <w:u w:val="none"/>
        </w:rPr>
        <w:t>.</w:t>
      </w:r>
      <w:bookmarkEnd w:id="55"/>
      <w:r>
        <w:rPr>
          <w:u w:val="none"/>
        </w:rPr>
        <w:t xml:space="preserve">  </w:t>
      </w:r>
    </w:p>
    <w:p>
      <w:pPr>
        <w:pStyle w:val="BodyText"/>
        <w:rPr/>
      </w:pPr>
      <w:r>
        <w:rPr/>
        <w:t>This Agreement may not be modified or amended except by an instrument or instruments in writing signed by the Party against whom enforcement of any such modification or amendment is sought.  Any Party may, only by an instrument in writing, waive compliance by the other Party with any term or provision of this Agreement on the part of such other Party to be performed or complied with.  The waiver by a Party of a breach of any term or provision of this Agreement shall not be construed as a waiver of any subsequent breach.</w:t>
      </w:r>
    </w:p>
    <w:p>
      <w:pPr>
        <w:pStyle w:val="Legal2L2"/>
        <w:numPr>
          <w:ilvl w:val="1"/>
          <w:numId w:val="3"/>
        </w:numPr>
        <w:ind w:hanging="0" w:start="0"/>
        <w:rPr>
          <w:vanish/>
          <w:color w:val="FF0000"/>
        </w:rPr>
      </w:pPr>
      <w:bookmarkStart w:id="56" w:name="__RefHeading___Toc513389535"/>
      <w:r>
        <w:rPr/>
        <w:t>Notices</w:t>
      </w:r>
      <w:r>
        <w:rPr>
          <w:u w:val="none"/>
        </w:rPr>
        <w:t>.</w:t>
      </w:r>
      <w:bookmarkEnd w:id="56"/>
      <w:r>
        <w:rPr>
          <w:u w:val="none"/>
        </w:rPr>
        <w:t xml:space="preserve">  </w:t>
      </w:r>
    </w:p>
    <w:p>
      <w:pPr>
        <w:pStyle w:val="BodyText"/>
        <w:rPr/>
      </w:pPr>
      <w:r>
        <w:rPr/>
        <w:t>All notices hereunder shall be sufficiently given for all purposes hereunder if in writing and delivered personally, sent by documented overnight delivery service or, to the extent receipt is confirmed, by United States Mail, or telecopy to the appropriate address or number as set forth below.  Notices shall be addressed as follows:</w:t>
      </w:r>
    </w:p>
    <w:p>
      <w:pPr>
        <w:pStyle w:val="Normal"/>
        <w:spacing w:before="0" w:after="120"/>
        <w:ind w:firstLine="1440" w:end="0"/>
        <w:rPr/>
      </w:pPr>
      <w:r>
        <w:rPr>
          <w:u w:val="single"/>
        </w:rPr>
        <w:t>If to Contractor</w:t>
      </w:r>
      <w:r>
        <w:rPr/>
        <w:t>:</w:t>
      </w:r>
    </w:p>
    <w:p>
      <w:pPr>
        <w:pStyle w:val="Normal"/>
        <w:ind w:firstLine="2160" w:end="0"/>
        <w:rPr/>
      </w:pPr>
      <w:r>
        <w:rPr/>
      </w:r>
    </w:p>
    <w:p>
      <w:pPr>
        <w:pStyle w:val="Normal"/>
        <w:ind w:firstLine="2160" w:end="0"/>
        <w:rPr/>
      </w:pPr>
      <w:r>
        <w:rPr/>
        <w:t>Enron Power Marketing, Inc.</w:t>
      </w:r>
    </w:p>
    <w:p>
      <w:pPr>
        <w:pStyle w:val="Normal"/>
        <w:ind w:firstLine="2160" w:end="0"/>
        <w:rPr/>
      </w:pPr>
      <w:r>
        <w:rPr/>
        <w:t>1400 Smith Street</w:t>
      </w:r>
    </w:p>
    <w:p>
      <w:pPr>
        <w:pStyle w:val="Normal"/>
        <w:ind w:firstLine="2160" w:end="0"/>
        <w:rPr/>
      </w:pPr>
      <w:r>
        <w:rPr/>
        <w:t>Houston, Texas  77002</w:t>
      </w:r>
    </w:p>
    <w:p>
      <w:pPr>
        <w:pStyle w:val="Normal"/>
        <w:ind w:firstLine="2160" w:end="0"/>
        <w:rPr/>
      </w:pPr>
      <w:r>
        <w:rPr/>
        <w:t xml:space="preserve">Attention: </w:t>
      </w:r>
    </w:p>
    <w:p>
      <w:pPr>
        <w:pStyle w:val="Normal"/>
        <w:ind w:firstLine="2160" w:end="0"/>
        <w:rPr/>
      </w:pPr>
      <w:r>
        <w:rPr/>
        <w:t>Telecopy No.:  (713)</w:t>
      </w:r>
    </w:p>
    <w:p>
      <w:pPr>
        <w:pStyle w:val="Header"/>
        <w:tabs>
          <w:tab w:val="clear" w:pos="4320"/>
          <w:tab w:val="clear" w:pos="8640"/>
        </w:tabs>
        <w:rPr/>
      </w:pPr>
      <w:r>
        <w:rPr/>
      </w:r>
    </w:p>
    <w:p>
      <w:pPr>
        <w:pStyle w:val="Normal"/>
        <w:ind w:firstLine="720" w:start="720" w:end="0"/>
        <w:rPr/>
      </w:pPr>
      <w:r>
        <w:rPr>
          <w:u w:val="single"/>
        </w:rPr>
        <w:t>With a copy to</w:t>
      </w:r>
      <w:r>
        <w:rPr/>
        <w:t>:</w:t>
      </w:r>
    </w:p>
    <w:p>
      <w:pPr>
        <w:pStyle w:val="Normal"/>
        <w:ind w:firstLine="2160" w:end="0"/>
        <w:rPr/>
      </w:pPr>
      <w:r>
        <w:rPr/>
      </w:r>
    </w:p>
    <w:p>
      <w:pPr>
        <w:pStyle w:val="Normal"/>
        <w:ind w:firstLine="2160" w:end="0"/>
        <w:rPr/>
      </w:pPr>
      <w:r>
        <w:rPr/>
        <w:t>Enron North America Corp.</w:t>
      </w:r>
    </w:p>
    <w:p>
      <w:pPr>
        <w:pStyle w:val="Normal"/>
        <w:ind w:firstLine="2160" w:end="0"/>
        <w:rPr/>
      </w:pPr>
      <w:r>
        <w:rPr/>
        <w:t>1400 Smith Street</w:t>
      </w:r>
    </w:p>
    <w:p>
      <w:pPr>
        <w:pStyle w:val="Normal"/>
        <w:ind w:firstLine="2160" w:end="0"/>
        <w:rPr/>
      </w:pPr>
      <w:r>
        <w:rPr/>
        <w:t>Houston, Texas  77002</w:t>
      </w:r>
    </w:p>
    <w:p>
      <w:pPr>
        <w:pStyle w:val="Normal"/>
        <w:ind w:firstLine="2160" w:end="0"/>
        <w:rPr/>
      </w:pPr>
      <w:r>
        <w:rPr/>
        <w:t>Attention:  Steve Van Hooser</w:t>
      </w:r>
    </w:p>
    <w:p>
      <w:pPr>
        <w:pStyle w:val="Normal"/>
        <w:ind w:firstLine="2160" w:end="0"/>
        <w:rPr/>
      </w:pPr>
      <w:r>
        <w:rPr/>
        <w:t>Telecopy No.:  (713)  646-3490</w:t>
      </w:r>
    </w:p>
    <w:p>
      <w:pPr>
        <w:pStyle w:val="Normal"/>
        <w:ind w:firstLine="2160" w:end="0"/>
        <w:rPr/>
      </w:pPr>
      <w:r>
        <w:rPr/>
      </w:r>
    </w:p>
    <w:p>
      <w:pPr>
        <w:pStyle w:val="Normal"/>
        <w:spacing w:before="0" w:after="240"/>
        <w:rPr/>
      </w:pPr>
      <w:r>
        <w:rPr/>
        <w:t xml:space="preserve">or at such other address and to the attention of such other Person as Contractor may designate by written notice to Owner.  </w:t>
      </w:r>
    </w:p>
    <w:p>
      <w:pPr>
        <w:pStyle w:val="Normal"/>
        <w:spacing w:before="0" w:after="120"/>
        <w:ind w:firstLine="1440" w:end="0"/>
        <w:rPr/>
      </w:pPr>
      <w:r>
        <w:rPr>
          <w:u w:val="single"/>
        </w:rPr>
        <w:t>If to Owner</w:t>
      </w:r>
      <w:r>
        <w:rPr/>
        <w:t>:</w:t>
      </w:r>
    </w:p>
    <w:p>
      <w:pPr>
        <w:pStyle w:val="Normal"/>
        <w:ind w:firstLine="2160" w:end="0"/>
        <w:rPr/>
      </w:pPr>
      <w:r>
        <w:rPr/>
        <w:t>AIG Highstar Capital, L.P.</w:t>
      </w:r>
    </w:p>
    <w:p>
      <w:pPr>
        <w:pStyle w:val="Normal"/>
        <w:ind w:firstLine="2160" w:end="0"/>
        <w:rPr/>
      </w:pPr>
      <w:r>
        <w:rPr/>
        <w:t>c/o AIG Global Investment Corp.</w:t>
      </w:r>
    </w:p>
    <w:p>
      <w:pPr>
        <w:pStyle w:val="Normal"/>
        <w:ind w:firstLine="2160" w:end="0"/>
        <w:rPr/>
      </w:pPr>
      <w:r>
        <w:rPr/>
        <w:t>175 Water Street, 26th Floor</w:t>
      </w:r>
    </w:p>
    <w:p>
      <w:pPr>
        <w:pStyle w:val="Normal"/>
        <w:ind w:firstLine="2160" w:end="0"/>
        <w:rPr/>
      </w:pPr>
      <w:r>
        <w:rPr/>
        <w:t>New York, NY  10038</w:t>
      </w:r>
    </w:p>
    <w:p>
      <w:pPr>
        <w:pStyle w:val="Normal"/>
        <w:ind w:firstLine="2160" w:end="0"/>
        <w:rPr/>
      </w:pPr>
      <w:r>
        <w:rPr/>
        <w:t>Attention:  Robert Percopo</w:t>
      </w:r>
    </w:p>
    <w:p>
      <w:pPr>
        <w:pStyle w:val="Normal"/>
        <w:ind w:firstLine="2160" w:end="0"/>
        <w:rPr/>
      </w:pPr>
      <w:r>
        <w:rPr/>
        <w:t>Telecopy No.:  (___)</w:t>
      </w:r>
      <w:r>
        <w:rPr>
          <w:u w:val="single"/>
        </w:rPr>
        <w:tab/>
        <w:tab/>
        <w:tab/>
      </w:r>
    </w:p>
    <w:p>
      <w:pPr>
        <w:pStyle w:val="Normal"/>
        <w:spacing w:before="0" w:after="240"/>
        <w:ind w:firstLine="2160" w:end="0"/>
        <w:rPr/>
      </w:pPr>
      <w:r>
        <w:rPr/>
      </w:r>
    </w:p>
    <w:p>
      <w:pPr>
        <w:pStyle w:val="Normal"/>
        <w:keepNext w:val="true"/>
        <w:keepLines/>
        <w:spacing w:before="0" w:after="120"/>
        <w:ind w:firstLine="1440" w:end="0"/>
        <w:rPr/>
      </w:pPr>
      <w:r>
        <w:rPr>
          <w:u w:val="single"/>
        </w:rPr>
        <w:t>With a copy to</w:t>
      </w:r>
      <w:r>
        <w:rPr/>
        <w:t>:</w:t>
      </w:r>
    </w:p>
    <w:p>
      <w:pPr>
        <w:pStyle w:val="Normal"/>
        <w:keepNext w:val="true"/>
        <w:keepLines/>
        <w:ind w:firstLine="2160" w:end="0"/>
        <w:rPr/>
      </w:pPr>
      <w:r>
        <w:rPr/>
        <w:t>Milbank, Tweed, Hadley &amp; McCloy LLP</w:t>
      </w:r>
    </w:p>
    <w:p>
      <w:pPr>
        <w:pStyle w:val="Normal"/>
        <w:keepNext w:val="true"/>
        <w:keepLines/>
        <w:ind w:firstLine="2160" w:end="0"/>
        <w:rPr/>
      </w:pPr>
      <w:r>
        <w:rPr/>
        <w:t xml:space="preserve">1 Chase Manhattan Plaza </w:t>
      </w:r>
    </w:p>
    <w:p>
      <w:pPr>
        <w:pStyle w:val="Normal"/>
        <w:keepNext w:val="true"/>
        <w:keepLines/>
        <w:ind w:firstLine="2160" w:end="0"/>
        <w:rPr/>
      </w:pPr>
      <w:r>
        <w:rPr/>
        <w:t xml:space="preserve">New York, NY 10005 </w:t>
      </w:r>
    </w:p>
    <w:p>
      <w:pPr>
        <w:pStyle w:val="Normal"/>
        <w:keepNext w:val="true"/>
        <w:keepLines/>
        <w:ind w:firstLine="2160" w:end="0"/>
        <w:rPr/>
      </w:pPr>
      <w:r>
        <w:rPr/>
        <w:t>Attention:  Jay D. Grushkin</w:t>
      </w:r>
    </w:p>
    <w:p>
      <w:pPr>
        <w:pStyle w:val="Normal"/>
        <w:keepNext w:val="true"/>
        <w:keepLines/>
        <w:ind w:firstLine="2160" w:end="0"/>
        <w:rPr/>
      </w:pPr>
      <w:r>
        <w:rPr/>
        <w:t>Telecopy No.:  (212) 530-5219</w:t>
        <w:tab/>
      </w:r>
    </w:p>
    <w:p>
      <w:pPr>
        <w:pStyle w:val="Normal"/>
        <w:keepNext w:val="true"/>
        <w:keepLines/>
        <w:ind w:firstLine="2160" w:end="0"/>
        <w:rPr/>
      </w:pPr>
      <w:r>
        <w:rPr/>
      </w:r>
    </w:p>
    <w:p>
      <w:pPr>
        <w:pStyle w:val="Normal"/>
        <w:keepNext w:val="true"/>
        <w:keepLines/>
        <w:spacing w:before="0" w:after="240"/>
        <w:rPr/>
      </w:pPr>
      <w:r>
        <w:rPr/>
        <w:t xml:space="preserve">or at such other address and to the attention of such other Person as Owner may designate by written notice to Contractor.  </w:t>
      </w:r>
    </w:p>
    <w:p>
      <w:pPr>
        <w:pStyle w:val="Legal2L3"/>
        <w:numPr>
          <w:ilvl w:val="0"/>
          <w:numId w:val="0"/>
        </w:numPr>
        <w:ind w:hanging="0" w:start="0"/>
        <w:rPr/>
      </w:pPr>
      <w:r>
        <w:rPr/>
        <w:t>Notice given by overnight delivery or mail shall be effective upon actual receipt.  Notice given by telecopier shall be effective upon transmission (with electronic confirmation of transmission) if transmitted during the recipient’s normal business hours, or at the beginning of the recipient’s next business day after transmission if not transmitted during the recipient’s normal business hours.  All notices by telecopier shall be confirmed promptly after transmission in writing by certified mail or overnight delivery.</w:t>
      </w:r>
    </w:p>
    <w:p>
      <w:pPr>
        <w:pStyle w:val="Legal2L2"/>
        <w:numPr>
          <w:ilvl w:val="1"/>
          <w:numId w:val="3"/>
        </w:numPr>
        <w:ind w:hanging="0" w:start="0"/>
        <w:rPr>
          <w:vanish/>
          <w:color w:val="FF0000"/>
        </w:rPr>
      </w:pPr>
      <w:bookmarkStart w:id="57" w:name="__RefHeading___Toc513389536"/>
      <w:r>
        <w:rPr/>
        <w:t>Additional Documents and Actions</w:t>
      </w:r>
      <w:r>
        <w:rPr>
          <w:u w:val="none"/>
        </w:rPr>
        <w:t>.</w:t>
      </w:r>
      <w:bookmarkEnd w:id="57"/>
      <w:r>
        <w:rPr>
          <w:u w:val="none"/>
        </w:rPr>
        <w:t xml:space="preserve">  </w:t>
      </w:r>
    </w:p>
    <w:p>
      <w:pPr>
        <w:pStyle w:val="BodyText"/>
        <w:rPr/>
      </w:pPr>
      <w:r>
        <w:rPr/>
        <w:t>Each Party agrees to execute and deliver to the other Party such additional documents and take such additional actions as may be reasonably required by the other Party to effect the intent of this Agreement.</w:t>
      </w:r>
    </w:p>
    <w:p>
      <w:pPr>
        <w:pStyle w:val="Legal2L2"/>
        <w:numPr>
          <w:ilvl w:val="1"/>
          <w:numId w:val="3"/>
        </w:numPr>
        <w:ind w:hanging="0" w:start="0"/>
        <w:rPr>
          <w:vanish/>
          <w:color w:val="FF0000"/>
        </w:rPr>
      </w:pPr>
      <w:bookmarkStart w:id="58" w:name="__RefHeading___Toc513389537"/>
      <w:r>
        <w:rPr/>
        <w:t>Counterparts</w:t>
      </w:r>
      <w:r>
        <w:rPr>
          <w:u w:val="none"/>
        </w:rPr>
        <w:t>.</w:t>
      </w:r>
      <w:bookmarkEnd w:id="58"/>
      <w:r>
        <w:rPr>
          <w:u w:val="none"/>
        </w:rPr>
        <w:t xml:space="preserve">  </w:t>
      </w:r>
    </w:p>
    <w:p>
      <w:pPr>
        <w:pStyle w:val="BodyText"/>
        <w:rPr/>
      </w:pPr>
      <w:r>
        <w:rPr/>
        <w:t>This Agreement may be executed in one or more counterparts, all of which shall be considered one and the same agreement, and shall become effective when one or more counterparts have been signed by each of the Parties and delivered to the other Party.</w:t>
      </w:r>
      <w:r>
        <w:br w:type="page"/>
      </w:r>
    </w:p>
    <w:p>
      <w:pPr>
        <w:pStyle w:val="BodyText"/>
        <w:rPr/>
      </w:pPr>
      <w:r>
        <w:rPr/>
      </w:r>
    </w:p>
    <w:p>
      <w:pPr>
        <w:pStyle w:val="BodyTextFirstIndent"/>
        <w:rPr/>
      </w:pPr>
      <w:r>
        <w:rPr/>
        <w:t>IN WITNESS WHEREOF the Parties have executed this Agreement effective as of the date first above-written.</w:t>
      </w:r>
    </w:p>
    <w:p>
      <w:pPr>
        <w:pStyle w:val="Normal"/>
        <w:spacing w:before="0" w:after="120"/>
        <w:ind w:start="4680" w:end="0"/>
        <w:jc w:val="both"/>
        <w:rPr/>
      </w:pPr>
      <w:r>
        <w:rPr>
          <w:u w:val="single"/>
        </w:rPr>
        <w:t>CONTRACTOR</w:t>
      </w:r>
      <w:r>
        <w:rPr/>
        <w:t>:</w:t>
      </w:r>
    </w:p>
    <w:p>
      <w:pPr>
        <w:pStyle w:val="Normal"/>
        <w:ind w:start="4680" w:end="0"/>
        <w:jc w:val="both"/>
        <w:rPr>
          <w:b/>
        </w:rPr>
      </w:pPr>
      <w:r>
        <w:rPr>
          <w:b/>
        </w:rPr>
      </w:r>
    </w:p>
    <w:p>
      <w:pPr>
        <w:pStyle w:val="Normal"/>
        <w:spacing w:before="0" w:after="480"/>
        <w:ind w:start="4680" w:end="0"/>
        <w:jc w:val="both"/>
        <w:rPr>
          <w:b/>
        </w:rPr>
      </w:pPr>
      <w:r>
        <w:rPr>
          <w:b/>
        </w:rPr>
        <w:t>Enron Power Marketing Inc.</w:t>
      </w:r>
    </w:p>
    <w:p>
      <w:pPr>
        <w:pStyle w:val="Normal"/>
        <w:ind w:start="4680" w:end="0"/>
        <w:jc w:val="both"/>
        <w:rPr/>
      </w:pPr>
      <w:r>
        <w:rPr/>
        <w:t>By:</w:t>
      </w:r>
      <w:r>
        <w:rPr>
          <w:u w:val="single"/>
        </w:rPr>
        <w:tab/>
        <w:tab/>
        <w:tab/>
        <w:tab/>
        <w:tab/>
        <w:tab/>
        <w:tab/>
      </w:r>
    </w:p>
    <w:p>
      <w:pPr>
        <w:pStyle w:val="Normal"/>
        <w:ind w:start="4680" w:end="0"/>
        <w:jc w:val="both"/>
        <w:rPr/>
      </w:pPr>
      <w:r>
        <w:rPr/>
        <w:t>Name:</w:t>
      </w:r>
      <w:r>
        <w:rPr>
          <w:u w:val="single"/>
        </w:rPr>
        <w:tab/>
        <w:tab/>
        <w:tab/>
        <w:tab/>
        <w:tab/>
        <w:tab/>
      </w:r>
    </w:p>
    <w:p>
      <w:pPr>
        <w:pStyle w:val="Normal"/>
        <w:spacing w:before="0" w:after="600"/>
        <w:ind w:start="4680" w:end="0"/>
        <w:jc w:val="both"/>
        <w:rPr/>
      </w:pPr>
      <w:r>
        <w:rPr/>
        <w:t>Title:</w:t>
      </w:r>
      <w:r>
        <w:rPr>
          <w:u w:val="single"/>
        </w:rPr>
        <w:tab/>
        <w:tab/>
        <w:tab/>
        <w:tab/>
        <w:tab/>
        <w:tab/>
      </w:r>
    </w:p>
    <w:p>
      <w:pPr>
        <w:pStyle w:val="Normal"/>
        <w:keepNext w:val="true"/>
        <w:keepLines/>
        <w:spacing w:before="0" w:after="120"/>
        <w:ind w:start="4680" w:end="0"/>
        <w:jc w:val="both"/>
        <w:rPr/>
      </w:pPr>
      <w:r>
        <w:rPr>
          <w:u w:val="single"/>
        </w:rPr>
        <w:t>OWNER</w:t>
      </w:r>
      <w:r>
        <w:rPr/>
        <w:t>:</w:t>
      </w:r>
    </w:p>
    <w:p>
      <w:pPr>
        <w:pStyle w:val="Normal"/>
        <w:keepNext w:val="true"/>
        <w:keepLines/>
        <w:spacing w:before="0" w:after="480"/>
        <w:ind w:start="4680" w:end="0"/>
        <w:jc w:val="both"/>
        <w:rPr>
          <w:b/>
        </w:rPr>
      </w:pPr>
      <w:r>
        <w:rPr>
          <w:b/>
        </w:rPr>
        <w:t>North Carolina Power Holdings, LLC</w:t>
      </w:r>
    </w:p>
    <w:p>
      <w:pPr>
        <w:pStyle w:val="Normal"/>
        <w:keepNext w:val="true"/>
        <w:keepLines/>
        <w:ind w:start="4680" w:end="0"/>
        <w:jc w:val="both"/>
        <w:rPr/>
      </w:pPr>
      <w:r>
        <w:rPr/>
        <w:t>By:</w:t>
      </w:r>
      <w:r>
        <w:rPr>
          <w:u w:val="single"/>
        </w:rPr>
        <w:tab/>
        <w:tab/>
        <w:tab/>
        <w:tab/>
        <w:tab/>
        <w:tab/>
        <w:tab/>
      </w:r>
    </w:p>
    <w:p>
      <w:pPr>
        <w:pStyle w:val="Normal"/>
        <w:keepNext w:val="true"/>
        <w:keepLines/>
        <w:ind w:start="4680" w:end="0"/>
        <w:jc w:val="both"/>
        <w:rPr/>
      </w:pPr>
      <w:r>
        <w:rPr/>
        <w:t>Name:</w:t>
      </w:r>
      <w:r>
        <w:rPr>
          <w:u w:val="single"/>
        </w:rPr>
        <w:tab/>
        <w:tab/>
        <w:tab/>
        <w:tab/>
        <w:tab/>
        <w:tab/>
      </w:r>
    </w:p>
    <w:p>
      <w:pPr>
        <w:pStyle w:val="Normal"/>
        <w:keepNext w:val="true"/>
        <w:keepLines/>
        <w:ind w:start="4680" w:end="0"/>
        <w:jc w:val="both"/>
        <w:rPr/>
      </w:pPr>
      <w:r>
        <w:rPr/>
        <w:t>Title:</w:t>
      </w:r>
      <w:r>
        <w:rPr>
          <w:u w:val="single"/>
        </w:rPr>
        <w:tab/>
        <w:tab/>
        <w:tab/>
        <w:tab/>
        <w:tab/>
        <w:tab/>
      </w:r>
    </w:p>
    <w:p>
      <w:pPr>
        <w:pStyle w:val="Normal"/>
        <w:keepNext w:val="true"/>
        <w:keepLines/>
        <w:ind w:start="4680" w:end="0"/>
        <w:jc w:val="both"/>
        <w:rPr>
          <w:u w:val="single"/>
        </w:rPr>
      </w:pPr>
      <w:r>
        <w:rPr>
          <w:u w:val="single"/>
        </w:rPr>
      </w:r>
    </w:p>
    <w:p>
      <w:pPr>
        <w:pStyle w:val="Normal"/>
        <w:keepNext w:val="true"/>
        <w:keepLines/>
        <w:ind w:start="4680" w:end="0"/>
        <w:jc w:val="both"/>
        <w:rPr>
          <w:u w:val="single"/>
        </w:rPr>
      </w:pPr>
      <w:r>
        <w:rPr>
          <w:u w:val="single"/>
        </w:rPr>
      </w:r>
    </w:p>
    <w:p>
      <w:pPr>
        <w:pStyle w:val="Normal"/>
        <w:keepNext w:val="true"/>
        <w:keepLines/>
        <w:spacing w:before="0" w:after="480"/>
        <w:ind w:start="4680" w:end="0"/>
        <w:jc w:val="both"/>
        <w:rPr>
          <w:b/>
        </w:rPr>
      </w:pPr>
      <w:r>
        <w:rPr>
          <w:b/>
        </w:rPr>
        <w:t>Elizabethtown Power, LLC</w:t>
      </w:r>
    </w:p>
    <w:p>
      <w:pPr>
        <w:pStyle w:val="Normal"/>
        <w:keepNext w:val="true"/>
        <w:keepLines/>
        <w:ind w:start="4680" w:end="0"/>
        <w:jc w:val="both"/>
        <w:rPr/>
      </w:pPr>
      <w:r>
        <w:rPr/>
        <w:t>By:</w:t>
      </w:r>
      <w:r>
        <w:rPr>
          <w:u w:val="single"/>
        </w:rPr>
        <w:tab/>
        <w:tab/>
        <w:tab/>
        <w:tab/>
        <w:tab/>
        <w:tab/>
        <w:tab/>
      </w:r>
    </w:p>
    <w:p>
      <w:pPr>
        <w:pStyle w:val="Normal"/>
        <w:keepNext w:val="true"/>
        <w:keepLines/>
        <w:ind w:start="4680" w:end="0"/>
        <w:jc w:val="both"/>
        <w:rPr/>
      </w:pPr>
      <w:r>
        <w:rPr/>
        <w:t>Name:</w:t>
      </w:r>
      <w:r>
        <w:rPr>
          <w:u w:val="single"/>
        </w:rPr>
        <w:tab/>
        <w:tab/>
        <w:tab/>
        <w:tab/>
        <w:tab/>
        <w:tab/>
      </w:r>
    </w:p>
    <w:p>
      <w:pPr>
        <w:pStyle w:val="Normal"/>
        <w:keepNext w:val="true"/>
        <w:keepLines/>
        <w:ind w:start="4680" w:end="0"/>
        <w:jc w:val="both"/>
        <w:rPr/>
      </w:pPr>
      <w:r>
        <w:rPr/>
        <w:t>Title:</w:t>
      </w:r>
      <w:r>
        <w:rPr>
          <w:u w:val="single"/>
        </w:rPr>
        <w:tab/>
        <w:tab/>
        <w:tab/>
        <w:tab/>
        <w:tab/>
        <w:tab/>
      </w:r>
    </w:p>
    <w:p>
      <w:pPr>
        <w:pStyle w:val="Normal"/>
        <w:keepNext w:val="true"/>
        <w:keepLines/>
        <w:ind w:start="4680" w:end="0"/>
        <w:jc w:val="both"/>
        <w:rPr>
          <w:u w:val="single"/>
        </w:rPr>
      </w:pPr>
      <w:r>
        <w:rPr>
          <w:u w:val="single"/>
        </w:rPr>
      </w:r>
    </w:p>
    <w:p>
      <w:pPr>
        <w:pStyle w:val="Normal"/>
        <w:keepNext w:val="true"/>
        <w:keepLines/>
        <w:ind w:start="4680" w:end="0"/>
        <w:jc w:val="both"/>
        <w:rPr>
          <w:u w:val="single"/>
        </w:rPr>
      </w:pPr>
      <w:r>
        <w:rPr>
          <w:u w:val="single"/>
        </w:rPr>
      </w:r>
    </w:p>
    <w:p>
      <w:pPr>
        <w:pStyle w:val="Normal"/>
        <w:keepNext w:val="true"/>
        <w:keepLines/>
        <w:spacing w:before="0" w:after="480"/>
        <w:ind w:start="4680" w:end="0"/>
        <w:jc w:val="both"/>
        <w:rPr>
          <w:b/>
        </w:rPr>
      </w:pPr>
      <w:r>
        <w:rPr>
          <w:b/>
        </w:rPr>
        <w:t>Lumberton Power, LLC</w:t>
      </w:r>
    </w:p>
    <w:p>
      <w:pPr>
        <w:pStyle w:val="Normal"/>
        <w:keepNext w:val="true"/>
        <w:keepLines/>
        <w:ind w:start="4680" w:end="0"/>
        <w:jc w:val="both"/>
        <w:rPr/>
      </w:pPr>
      <w:r>
        <w:rPr/>
        <w:t>By:</w:t>
      </w:r>
      <w:r>
        <w:rPr>
          <w:u w:val="single"/>
        </w:rPr>
        <w:tab/>
        <w:tab/>
        <w:tab/>
        <w:tab/>
        <w:tab/>
        <w:tab/>
        <w:tab/>
      </w:r>
    </w:p>
    <w:p>
      <w:pPr>
        <w:pStyle w:val="Normal"/>
        <w:keepNext w:val="true"/>
        <w:keepLines/>
        <w:ind w:start="4680" w:end="0"/>
        <w:jc w:val="both"/>
        <w:rPr/>
      </w:pPr>
      <w:r>
        <w:rPr/>
        <w:t>Name:</w:t>
      </w:r>
      <w:r>
        <w:rPr>
          <w:u w:val="single"/>
        </w:rPr>
        <w:tab/>
        <w:tab/>
        <w:tab/>
        <w:tab/>
        <w:tab/>
        <w:tab/>
      </w:r>
    </w:p>
    <w:p>
      <w:pPr>
        <w:pStyle w:val="Normal"/>
        <w:keepNext w:val="true"/>
        <w:keepLines/>
        <w:ind w:start="4680" w:end="0"/>
        <w:jc w:val="both"/>
        <w:rPr/>
      </w:pPr>
      <w:r>
        <w:rPr/>
        <w:t>Title:</w:t>
      </w:r>
      <w:r>
        <w:rPr>
          <w:u w:val="single"/>
        </w:rPr>
        <w:tab/>
        <w:tab/>
        <w:tab/>
        <w:tab/>
        <w:tab/>
        <w:tab/>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keepLines/>
        <w:ind w:start="4680" w:end="0"/>
        <w:jc w:val="both"/>
        <w:rPr>
          <w:u w:val="single"/>
        </w:rPr>
      </w:pPr>
      <w:r>
        <w:rPr>
          <w:u w:val="single"/>
        </w:rPr>
      </w:r>
    </w:p>
    <w:p>
      <w:pPr>
        <w:pStyle w:val="Legal2L1"/>
        <w:keepLines/>
        <w:numPr>
          <w:ilvl w:val="0"/>
          <w:numId w:val="0"/>
        </w:numPr>
        <w:spacing w:before="0" w:after="0"/>
        <w:ind w:hanging="0" w:start="0"/>
        <w:rPr/>
      </w:pPr>
      <w:r>
        <w:rPr/>
        <w:t>Exhibit A</w:t>
      </w:r>
    </w:p>
    <w:p>
      <w:pPr>
        <w:pStyle w:val="Normal"/>
        <w:keepNext w:val="true"/>
        <w:keepLines/>
        <w:jc w:val="center"/>
        <w:rPr>
          <w:u w:val="single"/>
        </w:rPr>
      </w:pPr>
      <w:r>
        <w:rPr>
          <w:u w:val="single"/>
        </w:rPr>
        <w:t xml:space="preserve">To </w:t>
      </w:r>
    </w:p>
    <w:p>
      <w:pPr>
        <w:pStyle w:val="Normal"/>
        <w:keepNext w:val="true"/>
        <w:keepLines/>
        <w:jc w:val="center"/>
        <w:rPr>
          <w:u w:val="single"/>
        </w:rPr>
      </w:pPr>
      <w:r>
        <w:rPr>
          <w:u w:val="single"/>
        </w:rPr>
        <w:t>Asset Management Agreement</w:t>
      </w:r>
    </w:p>
    <w:p>
      <w:pPr>
        <w:pStyle w:val="Normal"/>
        <w:keepNext w:val="true"/>
        <w:keepLines/>
        <w:jc w:val="center"/>
        <w:rPr>
          <w:u w:val="single"/>
        </w:rPr>
      </w:pPr>
      <w:r>
        <w:rPr>
          <w:u w:val="single"/>
        </w:rPr>
      </w:r>
    </w:p>
    <w:p>
      <w:pPr>
        <w:pStyle w:val="Normal"/>
        <w:keepNext w:val="true"/>
        <w:keepLines/>
        <w:jc w:val="center"/>
        <w:rPr/>
      </w:pPr>
      <w:r>
        <w:rPr/>
        <w:t>Project Contracts</w:t>
      </w:r>
    </w:p>
    <w:p>
      <w:pPr>
        <w:pStyle w:val="Normal"/>
        <w:keepNext w:val="true"/>
        <w:keepLines/>
        <w:jc w:val="center"/>
        <w:rPr/>
      </w:pPr>
      <w:r>
        <w:rPr/>
      </w:r>
    </w:p>
    <w:p>
      <w:pPr>
        <w:pStyle w:val="Normal"/>
        <w:rPr/>
      </w:pPr>
      <w:r>
        <w:rPr>
          <w:u w:val="single"/>
        </w:rPr>
        <w:t>Elizabethtown Facility</w:t>
      </w:r>
      <w:r>
        <w:rPr/>
        <w:t>:</w:t>
      </w:r>
    </w:p>
    <w:p>
      <w:pPr>
        <w:pStyle w:val="Normal"/>
        <w:rPr/>
      </w:pPr>
      <w:r>
        <w:rPr/>
      </w:r>
    </w:p>
    <w:p>
      <w:pPr>
        <w:pStyle w:val="Normal"/>
        <w:numPr>
          <w:ilvl w:val="0"/>
          <w:numId w:val="2"/>
        </w:numPr>
        <w:tabs>
          <w:tab w:val="clear" w:pos="720"/>
          <w:tab w:val="left" w:pos="360" w:leader="none"/>
        </w:tabs>
        <w:rPr/>
      </w:pPr>
      <w:r>
        <w:rPr/>
        <w:t>Steam Purchase Agreement dated January 31, 2001 by and between Elizabethtown Power, LLC and Alamac Knit Fabrics, Inc.</w:t>
      </w:r>
    </w:p>
    <w:p>
      <w:pPr>
        <w:pStyle w:val="Normal"/>
        <w:numPr>
          <w:ilvl w:val="0"/>
          <w:numId w:val="2"/>
        </w:numPr>
        <w:tabs>
          <w:tab w:val="clear" w:pos="720"/>
          <w:tab w:val="left" w:pos="360" w:leader="none"/>
        </w:tabs>
        <w:rPr/>
      </w:pPr>
      <w:r>
        <w:rPr/>
        <w:t>Ground Lease and Easement Agreement dated January 31, 2001 by and between Alamac Knit Fabrics, Inc. and Elizabethtown Power, LLC</w:t>
      </w:r>
    </w:p>
    <w:p>
      <w:pPr>
        <w:pStyle w:val="Normal"/>
        <w:numPr>
          <w:ilvl w:val="0"/>
          <w:numId w:val="2"/>
        </w:numPr>
        <w:tabs>
          <w:tab w:val="clear" w:pos="720"/>
          <w:tab w:val="left" w:pos="360" w:leader="none"/>
        </w:tabs>
        <w:rPr/>
      </w:pPr>
      <w:r>
        <w:rPr/>
        <w:t>Operation and Maintenance Agreement dated January 31, 2001 between G.L.C. Consulting Service Incorporation and Elizabethtown Power, LLC</w:t>
      </w:r>
    </w:p>
    <w:p>
      <w:pPr>
        <w:pStyle w:val="Normal"/>
        <w:numPr>
          <w:ilvl w:val="0"/>
          <w:numId w:val="2"/>
        </w:numPr>
        <w:tabs>
          <w:tab w:val="clear" w:pos="720"/>
          <w:tab w:val="left" w:pos="360" w:leader="none"/>
        </w:tabs>
        <w:rPr/>
      </w:pPr>
      <w:r>
        <w:rPr/>
        <w:t>Agreement for Ash Removal Services between Cogentrix Eastern Carolina Corporation and ReUse Technology, Inc. dated as of December 16, 1991, for the facility in Elizabethtown, North Carolina, as amended by First Amendment to Agreement for Ash Removal Services dated May 19, 1993, as assigned by Cogentrix Eastern Carolina, LLC to Elizabethtown Power, LLC effective as of January 31, 2001.</w:t>
      </w:r>
    </w:p>
    <w:p>
      <w:pPr>
        <w:pStyle w:val="Normal"/>
        <w:numPr>
          <w:ilvl w:val="0"/>
          <w:numId w:val="2"/>
        </w:numPr>
        <w:tabs>
          <w:tab w:val="clear" w:pos="720"/>
          <w:tab w:val="left" w:pos="360" w:leader="none"/>
        </w:tabs>
        <w:rPr/>
      </w:pPr>
      <w:r>
        <w:rPr/>
        <w:t>Coal Handling Agreement between Cogentrix Eastern Carolina Corporation and ReUse Technology, Inc. dated as of May 19, 1993, for the facility in Elizabethtown, North Carolina, as assigned by Cogentrix Eastern Carolina, LLC to Elizabethtown Power, LLC effective as of January 31, 2001.</w:t>
      </w:r>
    </w:p>
    <w:p>
      <w:pPr>
        <w:pStyle w:val="Normal"/>
        <w:numPr>
          <w:ilvl w:val="0"/>
          <w:numId w:val="2"/>
        </w:numPr>
        <w:tabs>
          <w:tab w:val="clear" w:pos="720"/>
          <w:tab w:val="left" w:pos="360" w:leader="none"/>
        </w:tabs>
        <w:rPr/>
      </w:pPr>
      <w:r>
        <w:rPr/>
        <w:t>Coal Purchase Agreement dated March 19, 2001 between North Carolina Power Holdings, LLC and Enron North America Corp.</w:t>
      </w:r>
    </w:p>
    <w:p>
      <w:pPr>
        <w:pStyle w:val="Normal"/>
        <w:numPr>
          <w:ilvl w:val="0"/>
          <w:numId w:val="2"/>
        </w:numPr>
        <w:tabs>
          <w:tab w:val="clear" w:pos="720"/>
          <w:tab w:val="left" w:pos="360" w:leader="none"/>
        </w:tabs>
        <w:rPr/>
      </w:pPr>
      <w:r>
        <w:rPr/>
        <w:t>Facility Interconnection and Operating Agreement dated April 18, 2001 between CP&amp;L, a subsidiary of Progress Energy, Inc., and Elizabethtown Power, LLC.</w:t>
      </w:r>
    </w:p>
    <w:p>
      <w:pPr>
        <w:pStyle w:val="Normal"/>
        <w:numPr>
          <w:ilvl w:val="0"/>
          <w:numId w:val="2"/>
        </w:numPr>
        <w:tabs>
          <w:tab w:val="clear" w:pos="720"/>
          <w:tab w:val="left" w:pos="360" w:leader="none"/>
        </w:tabs>
        <w:rPr/>
      </w:pPr>
      <w:r>
        <w:rPr/>
        <w:t>Confirmation Letter dated March 26, 2001 between Carolina Power &amp; Light Company and North Carolina Power Holdings, LLC.</w:t>
      </w:r>
    </w:p>
    <w:p>
      <w:pPr>
        <w:pStyle w:val="Normal"/>
        <w:jc w:val="center"/>
        <w:rPr/>
      </w:pPr>
      <w:r>
        <w:rPr/>
      </w:r>
    </w:p>
    <w:p>
      <w:pPr>
        <w:pStyle w:val="Normal"/>
        <w:rPr/>
      </w:pPr>
      <w:r>
        <w:rPr>
          <w:u w:val="single"/>
        </w:rPr>
        <w:t>Lumberton Facility</w:t>
      </w:r>
      <w:r>
        <w:rPr/>
        <w:t>:</w:t>
      </w:r>
    </w:p>
    <w:p>
      <w:pPr>
        <w:pStyle w:val="Normal"/>
        <w:jc w:val="center"/>
        <w:rPr/>
      </w:pPr>
      <w:r>
        <w:rPr/>
      </w:r>
    </w:p>
    <w:p>
      <w:pPr>
        <w:pStyle w:val="Normal"/>
        <w:numPr>
          <w:ilvl w:val="0"/>
          <w:numId w:val="4"/>
        </w:numPr>
        <w:tabs>
          <w:tab w:val="clear" w:pos="720"/>
          <w:tab w:val="left" w:pos="360" w:leader="none"/>
        </w:tabs>
        <w:rPr/>
      </w:pPr>
      <w:r>
        <w:rPr/>
        <w:t>Steam Purchase Agreement dated January 31, 2001 by and between Lumberton Power, LLC and Alamac Knit Fabrics, Inc.</w:t>
      </w:r>
    </w:p>
    <w:p>
      <w:pPr>
        <w:pStyle w:val="Normal"/>
        <w:numPr>
          <w:ilvl w:val="0"/>
          <w:numId w:val="4"/>
        </w:numPr>
        <w:tabs>
          <w:tab w:val="clear" w:pos="720"/>
          <w:tab w:val="left" w:pos="360" w:leader="none"/>
        </w:tabs>
        <w:rPr/>
      </w:pPr>
      <w:r>
        <w:rPr/>
        <w:t>Ground Lease and Easement Agreement dated January 31, 2001 by and between Alamac Knit Fabrics, Inc. and Lumberton Power, LLC.</w:t>
      </w:r>
    </w:p>
    <w:p>
      <w:pPr>
        <w:pStyle w:val="Normal"/>
        <w:numPr>
          <w:ilvl w:val="0"/>
          <w:numId w:val="4"/>
        </w:numPr>
        <w:tabs>
          <w:tab w:val="clear" w:pos="720"/>
          <w:tab w:val="left" w:pos="360" w:leader="none"/>
        </w:tabs>
        <w:rPr/>
      </w:pPr>
      <w:r>
        <w:rPr/>
        <w:t>Operation and Maintenance Agreement dated January 31, 2001 between G.L.C. Consulting Service Incorporated and Lumberton Power, LLC.</w:t>
      </w:r>
    </w:p>
    <w:p>
      <w:pPr>
        <w:pStyle w:val="Normal"/>
        <w:numPr>
          <w:ilvl w:val="0"/>
          <w:numId w:val="4"/>
        </w:numPr>
        <w:tabs>
          <w:tab w:val="clear" w:pos="720"/>
          <w:tab w:val="left" w:pos="360" w:leader="none"/>
        </w:tabs>
        <w:rPr/>
      </w:pPr>
      <w:r>
        <w:rPr/>
        <w:t>Agreement for Ash Removal Services between Cogentrix Eastern Carolina Corporation and ReUse Technology, Inc. dated as of December 16, 1991, as amended by First Amendment to Agreement for Ash Removal Services dated May 19, 1993, and as assigned by Cogentrix Eastern Carolina, LLC to Lumberton Power, LLC effective as of January 31, 2001.</w:t>
      </w:r>
    </w:p>
    <w:p>
      <w:pPr>
        <w:pStyle w:val="Normal"/>
        <w:numPr>
          <w:ilvl w:val="0"/>
          <w:numId w:val="4"/>
        </w:numPr>
        <w:tabs>
          <w:tab w:val="clear" w:pos="720"/>
          <w:tab w:val="left" w:pos="360" w:leader="none"/>
        </w:tabs>
        <w:rPr/>
      </w:pPr>
      <w:r>
        <w:rPr/>
        <w:t>Coal Handling Agreement between Cogentrix Eastern Carolina Corporation and ReUse Technology, Inc. dated as of May 19, 1993, for the facility in Lumberton, North Carolina, as assigned by Cogentrix Eastern Carolina, LLC to Lumberton Power, LLC effective as of January 31, 2001.</w:t>
      </w:r>
    </w:p>
    <w:p>
      <w:pPr>
        <w:pStyle w:val="Normal"/>
        <w:numPr>
          <w:ilvl w:val="0"/>
          <w:numId w:val="4"/>
        </w:numPr>
        <w:tabs>
          <w:tab w:val="clear" w:pos="720"/>
          <w:tab w:val="left" w:pos="360" w:leader="none"/>
        </w:tabs>
        <w:rPr/>
      </w:pPr>
      <w:r>
        <w:rPr/>
        <w:t xml:space="preserve">Agreement (SBD 10257; RE-83767) dated as of June 18, 1986 by and between Cumberland Elkhorn Coal and Coke, Inc. and Seaboard System Railroad, Inc., as amended and assigned by First Amendment to Agreement dated May 19, 1993 between CSX Transportation, Inc. and Cogentrix Eastern Carolina Corporation, and as assigned by Cogentrix Eastern Carolina, LLC to Lumberton Power, LLC on January 31, 2001. </w:t>
      </w:r>
    </w:p>
    <w:p>
      <w:pPr>
        <w:pStyle w:val="Normal"/>
        <w:numPr>
          <w:ilvl w:val="0"/>
          <w:numId w:val="4"/>
        </w:numPr>
        <w:tabs>
          <w:tab w:val="clear" w:pos="720"/>
          <w:tab w:val="left" w:pos="360" w:leader="none"/>
        </w:tabs>
        <w:rPr/>
      </w:pPr>
      <w:r>
        <w:rPr/>
        <w:t>Coal Purchase Agreement dated March 19, 2001 between North Carolina Power Holdings, LLC and Enron North America Corp.</w:t>
      </w:r>
    </w:p>
    <w:p>
      <w:pPr>
        <w:pStyle w:val="Normal"/>
        <w:numPr>
          <w:ilvl w:val="0"/>
          <w:numId w:val="4"/>
        </w:numPr>
        <w:tabs>
          <w:tab w:val="clear" w:pos="720"/>
          <w:tab w:val="left" w:pos="360" w:leader="none"/>
        </w:tabs>
        <w:rPr/>
      </w:pPr>
      <w:r>
        <w:rPr/>
        <w:t>Facility Interconnection and Operating Agreement dated April 18, 2001 between CP&amp;L, a subsidiary of Progress Energy, Inc., and Lumberton Power, LLC</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numPr>
          <w:ilvl w:val="0"/>
          <w:numId w:val="4"/>
        </w:numPr>
        <w:tabs>
          <w:tab w:val="clear" w:pos="720"/>
          <w:tab w:val="left" w:pos="360" w:leader="none"/>
        </w:tabs>
        <w:rPr/>
      </w:pPr>
      <w:r>
        <w:rPr/>
        <w:t>Confirmation Letter dated March 26, 2001 between Carolina Power &amp; Light Company and North Carolina Power Holdings, LLC.</w:t>
      </w:r>
    </w:p>
    <w:p>
      <w:pPr>
        <w:pStyle w:val="Normal"/>
        <w:rPr/>
      </w:pPr>
      <w:r>
        <w:rPr/>
      </w:r>
    </w:p>
    <w:p>
      <w:pPr>
        <w:pStyle w:val="Normal"/>
        <w:rPr/>
      </w:pPr>
      <w:r>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default"/>
  </w:font>
  <w:font w:name="Tahoma">
    <w:charset w:val="00" w:characterSet="windows-1252"/>
    <w:family w:val="swiss"/>
    <w:pitch w:val="variable"/>
  </w:font>
  <w:font w:name="Arrus BT">
    <w:altName w:val="Georgia"/>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Houston\1142119.6</w:t>
    </w:r>
  </w:p>
  <w:p>
    <w:pPr>
      <w:pStyle w:val="Footer"/>
      <w:spacing w:lineRule="exact" w:line="200"/>
      <w:rPr/>
    </w:pPr>
    <w:r>
      <w:rPr>
        <w:rStyle w:val="zzmpTrailerItem"/>
      </w:rPr>
      <w:t>NY1:#3287831v3</w:t>
    </w:r>
    <w:r>
      <w:rPr/>
      <w:t xml:space="preserve"> </w:t>
    </w:r>
  </w:p>
  <w:p>
    <w:pPr>
      <w:pStyle w:val="Footer"/>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Style w:val="PageNumber"/>
        <w:sz w:val="16"/>
      </w:rPr>
      <w:t>Houston\1142119.6</w:t>
    </w:r>
    <w:r>
      <w:rPr>
        <w:rStyle w:val="PageNumber"/>
      </w:rPr>
      <w:tab/>
      <w:tab/>
      <w:t>-</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spacing w:lineRule="exact" w:line="200"/>
      <w:rPr/>
    </w:pPr>
    <w:r>
      <w:rPr>
        <w:rStyle w:val="zzmpTrailerItem"/>
      </w:rPr>
      <w:t>NY1:#3287831v3</w:t>
    </w:r>
    <w:r>
      <w:rPr/>
      <w:t xml:space="preserve"> </w:t>
    </w:r>
  </w:p>
  <w:p>
    <w:pPr>
      <w:pStyle w:val="Footer"/>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r>
      <w:rPr>
        <w:rStyle w:val="PageNumbe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Houston\1142119.6</w:t>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p>
    <w:pPr>
      <w:pStyle w:val="Footer"/>
      <w:spacing w:lineRule="exact" w:line="200"/>
      <w:rPr/>
    </w:pPr>
    <w:r>
      <w:rPr>
        <w:rStyle w:val="zzmpTrailerItem"/>
      </w:rPr>
      <w:t>NY1:#3287831v3</w:t>
    </w:r>
    <w:r>
      <w:rPr/>
      <w:t xml:space="preserve"> </w:t>
    </w:r>
  </w:p>
  <w:p>
    <w:pPr>
      <w:pStyle w:val="Footer"/>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Houston\1142119.5</w:t>
    </w:r>
  </w:p>
  <w:p>
    <w:pPr>
      <w:pStyle w:val="Footer"/>
      <w:spacing w:lineRule="exact" w:line="200"/>
      <w:rPr/>
    </w:pPr>
    <w:r>
      <w:rPr>
        <w:rStyle w:val="zzmpTrailerItem"/>
      </w:rPr>
      <w:t>NY1:#3287831v3</w:t>
    </w:r>
    <w:r>
      <w:rPr/>
      <w:t xml:space="preserve"> </w:t>
    </w:r>
  </w:p>
  <w:p>
    <w:pPr>
      <w:pStyle w:val="Footer"/>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Houston\1142119.5</w:t>
    </w:r>
  </w:p>
  <w:p>
    <w:pPr>
      <w:pStyle w:val="Footer"/>
      <w:jc w:val="center"/>
      <w:rPr>
        <w:rStyle w:val="PageNumber"/>
      </w:rPr>
    </w:pPr>
    <w:r>
      <w:rPr/>
      <w:t xml:space="preserve">Exhibit A,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spacing w:lineRule="exact" w:line="200"/>
      <w:rPr/>
    </w:pPr>
    <w:r>
      <w:rPr>
        <w:rStyle w:val="zzmpTrailerItem"/>
      </w:rPr>
      <w:t>NY1:#3287831v3</w:t>
    </w:r>
    <w:r>
      <w:rPr/>
      <w:t xml:space="preserve"> </w:t>
    </w:r>
  </w:p>
  <w:p>
    <w:pPr>
      <w:pStyle w:val="Footer"/>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#1142119v5</w:t>
    </w:r>
  </w:p>
  <w:p>
    <w:pPr>
      <w:pStyle w:val="Footer"/>
      <w:jc w:val="center"/>
      <w:rPr>
        <w:rStyle w:val="PageNumber"/>
      </w:rPr>
    </w:pPr>
    <w:r>
      <w:rPr/>
      <w:t xml:space="preserve">Exhibit A,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lineRule="exact" w:line="200"/>
      <w:rPr/>
    </w:pPr>
    <w:r>
      <w:rPr>
        <w:rStyle w:val="zzmpTrailerItem"/>
      </w:rPr>
      <w:t>NY1:#3287831v3</w:t>
    </w:r>
    <w:r>
      <w:rPr/>
      <w:t xml:space="preserve"> </w:t>
    </w:r>
  </w:p>
  <w:p>
    <w:pPr>
      <w:pStyle w:val="Footer"/>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Houston\1142119.5</w:t>
    </w:r>
  </w:p>
  <w:p>
    <w:pPr>
      <w:pStyle w:val="Footer"/>
      <w:jc w:val="center"/>
      <w:rPr/>
    </w:pPr>
    <w:r>
      <w:rPr/>
      <w:t xml:space="preserve">Exhibit A, 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spacing w:lineRule="exact" w:line="200"/>
      <w:rPr/>
    </w:pPr>
    <w:r>
      <w:rPr>
        <w:rStyle w:val="zzmpTrailerItem"/>
      </w:rPr>
      <w:t>NY1:#3287831v3</w:t>
    </w:r>
    <w:r>
      <w:rPr/>
      <w:t xml:space="preserve"> </w:t>
    </w:r>
  </w:p>
  <w:p>
    <w:pPr>
      <w:pStyle w:val="Footer"/>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#1142119v6</w:t>
    </w:r>
  </w:p>
  <w:p>
    <w:pPr>
      <w:pStyle w:val="Footer"/>
      <w:jc w:val="center"/>
      <w:rPr/>
    </w:pPr>
    <w:r>
      <w:rPr/>
      <w:t xml:space="preserve">Exhibit B, Page </w:t>
    </w:r>
    <w:r>
      <w:rPr>
        <w:rStyle w:val="PageNumber"/>
      </w:rPr>
      <w:t>1</w:t>
    </w:r>
  </w:p>
  <w:p>
    <w:pPr>
      <w:pStyle w:val="Footer"/>
      <w:spacing w:lineRule="exact" w:line="200"/>
      <w:rPr/>
    </w:pPr>
    <w:r>
      <w:rPr>
        <w:rStyle w:val="zzmpTrailerItem"/>
      </w:rPr>
      <w:t>NY1:#3287831v3</w:t>
    </w:r>
    <w:r>
      <w:rPr/>
      <w:t xml:space="preserve"> </w:t>
    </w:r>
  </w:p>
  <w:p>
    <w:pPr>
      <w:pStyle w:val="Footer"/>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MTH&amp;M Comments to B&amp;P DRAFT</w:t>
    </w:r>
  </w:p>
  <w:p>
    <w:pPr>
      <w:pStyle w:val="Header"/>
      <w:jc w:val="end"/>
      <w:rPr>
        <w:b/>
      </w:rPr>
    </w:pPr>
    <w:r>
      <w:rPr>
        <w:b/>
      </w:rPr>
      <w:t>05/4/01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Roman"/>
      <w:suff w:val="space"/>
      <w:lvlText w:val="ARTICLE %1. "/>
      <w:lvlJc w:val="start"/>
      <w:pPr>
        <w:tabs>
          <w:tab w:val="num" w:pos="0"/>
        </w:tabs>
        <w:ind w:start="0" w:hanging="0"/>
      </w:pPr>
      <w:rPr>
        <w:caps/>
        <w:sz w:val="24"/>
        <w:i w:val="false"/>
        <w:u w:val="none"/>
        <w:b w:val="false"/>
        <w:rFonts w:ascii="Times New Roman" w:hAnsi="Times New Roman" w:cs="Times New Roman"/>
        <w:color w:val="auto"/>
      </w:rPr>
    </w:lvl>
    <w:lvl w:ilvl="1">
      <w:start w:val="1"/>
      <w:isLgl/>
      <w:numFmt w:val="decimal"/>
      <w:lvlText w:val="Section %1.%2"/>
      <w:lvlJc w:val="start"/>
      <w:pPr>
        <w:tabs>
          <w:tab w:val="num" w:pos="1440"/>
        </w:tabs>
        <w:ind w:start="0" w:firstLine="720"/>
      </w:pPr>
      <w:rPr>
        <w:smallCaps w:val="false"/>
        <w:caps w:val="false"/>
        <w:sz w:val="24"/>
        <w:i w:val="false"/>
        <w:u w:val="none"/>
        <w:b w:val="false"/>
        <w:rFonts w:ascii="Times New Roman" w:hAnsi="Times New Roman" w:cs="Times New Roman"/>
        <w:color w:val="auto"/>
      </w:rPr>
    </w:lvl>
    <w:lvl w:ilvl="2">
      <w:start w:val="1"/>
      <w:numFmt w:val="lowerLetter"/>
      <w:lvlText w:val="(%3)"/>
      <w:lvlJc w:val="start"/>
      <w:pPr>
        <w:tabs>
          <w:tab w:val="num" w:pos="2160"/>
        </w:tabs>
        <w:ind w:start="720" w:firstLine="720"/>
      </w:pPr>
      <w:rPr>
        <w:smallCaps w:val="false"/>
        <w:caps w:val="false"/>
        <w:sz w:val="24"/>
        <w:i w:val="false"/>
        <w:u w:val="none"/>
        <w:b w:val="false"/>
        <w:rFonts w:ascii="Times New Roman" w:hAnsi="Times New Roman" w:cs="Times New Roman"/>
        <w:color w:val="auto"/>
      </w:rPr>
    </w:lvl>
    <w:lvl w:ilvl="3">
      <w:start w:val="1"/>
      <w:numFmt w:val="lowerRoman"/>
      <w:lvlText w:val="(%4)"/>
      <w:lvlJc w:val="start"/>
      <w:pPr>
        <w:tabs>
          <w:tab w:val="num" w:pos="2880"/>
        </w:tabs>
        <w:ind w:start="1440" w:firstLine="720"/>
      </w:pPr>
      <w:rPr>
        <w:smallCaps w:val="false"/>
        <w:caps w:val="false"/>
        <w:sz w:val="24"/>
        <w:i w:val="false"/>
        <w:u w:val="none"/>
        <w:b w:val="false"/>
        <w:rFonts w:ascii="Times New Roman" w:hAnsi="Times New Roman" w:cs="Times New Roman"/>
        <w:color w:val="auto"/>
      </w:rPr>
    </w:lvl>
    <w:lvl w:ilvl="4">
      <w:start w:val="1"/>
      <w:numFmt w:val="decimal"/>
      <w:lvlText w:val="(%5)"/>
      <w:lvlJc w:val="start"/>
      <w:pPr>
        <w:tabs>
          <w:tab w:val="num" w:pos="3600"/>
        </w:tabs>
        <w:ind w:start="0" w:firstLine="2880"/>
      </w:pPr>
      <w:rPr>
        <w:smallCaps w:val="false"/>
        <w:caps w:val="false"/>
        <w:sz w:val="24"/>
        <w:i w:val="false"/>
        <w:u w:val="none"/>
        <w:b w:val="false"/>
        <w:rFonts w:ascii="Times New Roman" w:hAnsi="Times New Roman" w:cs="Times New Roman"/>
        <w:color w:val="auto"/>
      </w:rPr>
    </w:lvl>
    <w:lvl w:ilvl="5">
      <w:start w:val="1"/>
      <w:numFmt w:val="lowerLetter"/>
      <w:lvlText w:val="%6."/>
      <w:lvlJc w:val="start"/>
      <w:pPr>
        <w:tabs>
          <w:tab w:val="num" w:pos="4320"/>
        </w:tabs>
        <w:ind w:start="0" w:firstLine="3600"/>
      </w:pPr>
      <w:rPr>
        <w:smallCaps w:val="false"/>
        <w:caps w:val="false"/>
        <w:sz w:val="24"/>
        <w:i w:val="false"/>
        <w:u w:val="none"/>
        <w:b w:val="false"/>
        <w:rFonts w:ascii="Times New Roman" w:hAnsi="Times New Roman" w:cs="Times New Roman"/>
        <w:color w:val="auto"/>
      </w:rPr>
    </w:lvl>
    <w:lvl w:ilvl="6">
      <w:start w:val="1"/>
      <w:numFmt w:val="lowerRoman"/>
      <w:lvlText w:val="%7."/>
      <w:lvlJc w:val="start"/>
      <w:pPr>
        <w:tabs>
          <w:tab w:val="num" w:pos="5040"/>
        </w:tabs>
        <w:ind w:start="0" w:firstLine="4320"/>
      </w:pPr>
      <w:rPr>
        <w:smallCaps w:val="false"/>
        <w:caps w:val="false"/>
        <w:sz w:val="24"/>
        <w:i w:val="false"/>
        <w:u w:val="none"/>
        <w:b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sz w:val="24"/>
        <w:i w:val="false"/>
        <w:u w:val="none"/>
        <w:b w:val="false"/>
        <w:rFonts w:ascii="Times New Roman" w:hAnsi="Times New Roman" w:cs="Times New Roman"/>
        <w:color w:val="auto"/>
      </w:rPr>
    </w:lvl>
    <w:lvl w:ilvl="8">
      <w:start w:val="1"/>
      <w:numFmt w:val="lowerRoman"/>
      <w:lvlText w:val="%9)"/>
      <w:lvlJc w:val="start"/>
      <w:pPr>
        <w:tabs>
          <w:tab w:val="num" w:pos="6480"/>
        </w:tabs>
        <w:ind w:start="0" w:firstLine="5760"/>
      </w:pPr>
      <w:rPr>
        <w:smallCaps w:val="false"/>
        <w:caps w:val="false"/>
        <w:sz w:val="24"/>
        <w:i w:val="false"/>
        <w:u w:val="none"/>
        <w:b w:val="false"/>
        <w:rFonts w:ascii="Times New Roman" w:hAnsi="Times New Roman" w:cs="Times New Roman"/>
        <w:color w:val="auto"/>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suff w:val="space"/>
      <w:lvlText w:val="%1. "/>
      <w:lvlJc w:val="start"/>
      <w:pPr>
        <w:tabs>
          <w:tab w:val="num" w:pos="0"/>
        </w:tabs>
        <w:ind w:start="0" w:firstLine="720"/>
      </w:pPr>
      <w:rPr>
        <w:smallCaps w:val="false"/>
        <w:caps w:val="false"/>
        <w:i w:val="false"/>
        <w:u w:val="none"/>
        <w:b w:val="false"/>
        <w:rFonts w:ascii="Times New Roman" w:hAnsi="Times New Roman" w:cs="Times New Roman"/>
        <w:color w:val="auto"/>
      </w:rPr>
    </w:lvl>
    <w:lvl w:ilvl="1">
      <w:start w:val="1"/>
      <w:numFmt w:val="upperLetter"/>
      <w:suff w:val="space"/>
      <w:lvlText w:val="%2. "/>
      <w:lvlJc w:val="start"/>
      <w:pPr>
        <w:tabs>
          <w:tab w:val="num" w:pos="0"/>
        </w:tabs>
        <w:ind w:start="0" w:firstLine="1440"/>
      </w:pPr>
      <w:rPr>
        <w:smallCaps w:val="false"/>
        <w:caps w:val="false"/>
        <w:i w:val="false"/>
        <w:u w:val="none"/>
        <w:b w:val="false"/>
        <w:rFonts w:ascii="Times New Roman" w:hAnsi="Times New Roman" w:cs="Times New Roman"/>
        <w:color w:val="auto"/>
      </w:rPr>
    </w:lvl>
    <w:lvl w:ilvl="2">
      <w:start w:val="1"/>
      <w:numFmt w:val="decimal"/>
      <w:lvlText w:val="(%3)"/>
      <w:lvlJc w:val="start"/>
      <w:pPr>
        <w:tabs>
          <w:tab w:val="num" w:pos="3600"/>
        </w:tabs>
        <w:ind w:start="1440" w:firstLine="720"/>
      </w:pPr>
      <w:rPr>
        <w:smallCaps w:val="false"/>
        <w:caps w:val="false"/>
        <w:i w:val="false"/>
        <w:u w:val="none"/>
        <w:b w:val="false"/>
        <w:rFonts w:ascii="Times New Roman" w:hAnsi="Times New Roman" w:cs="Times New Roman"/>
        <w:color w:val="auto"/>
      </w:rPr>
    </w:lvl>
    <w:lvl w:ilvl="3">
      <w:start w:val="1"/>
      <w:numFmt w:val="decimal"/>
      <w:lvlText w:val="%4."/>
      <w:lvlJc w:val="start"/>
      <w:pPr>
        <w:tabs>
          <w:tab w:val="num" w:pos="1440"/>
        </w:tabs>
        <w:ind w:start="0" w:firstLine="720"/>
      </w:pPr>
      <w:rPr>
        <w:smallCaps w:val="false"/>
        <w:caps w:val="false"/>
        <w:i w:val="false"/>
        <w:u w:val="none"/>
        <w:b w:val="false"/>
        <w:rFonts w:ascii="Times New Roman" w:hAnsi="Times New Roman" w:cs="Times New Roman"/>
        <w:color w:val="auto"/>
      </w:rPr>
    </w:lvl>
    <w:lvl w:ilvl="4">
      <w:start w:val="1"/>
      <w:numFmt w:val="lowerLetter"/>
      <w:lvlText w:val="(%5)"/>
      <w:lvlJc w:val="start"/>
      <w:pPr>
        <w:tabs>
          <w:tab w:val="num" w:pos="1800"/>
        </w:tabs>
        <w:ind w:start="0" w:firstLine="1440"/>
      </w:pPr>
      <w:rPr>
        <w:smallCaps w:val="false"/>
        <w:caps w:val="false"/>
        <w:i w:val="false"/>
        <w:u w:val="none"/>
        <w:b w:val="false"/>
        <w:rFonts w:ascii="Times New Roman" w:hAnsi="Times New Roman" w:cs="Times New Roman"/>
        <w:color w:val="auto"/>
      </w:rPr>
    </w:lvl>
    <w:lvl w:ilvl="5">
      <w:start w:val="1"/>
      <w:numFmt w:val="lowerRoman"/>
      <w:lvlText w:val="%6."/>
      <w:lvlJc w:val="start"/>
      <w:pPr>
        <w:tabs>
          <w:tab w:val="num" w:pos="4320"/>
        </w:tabs>
        <w:ind w:start="0" w:firstLine="3600"/>
      </w:pPr>
      <w:rPr>
        <w:smallCaps w:val="false"/>
        <w:caps w:val="false"/>
        <w:i w:val="false"/>
        <w:u w:val="none"/>
        <w:b w:val="false"/>
        <w:rFonts w:ascii="Times New Roman" w:hAnsi="Times New Roman" w:cs="Times New Roman"/>
        <w:color w:val="auto"/>
      </w:rPr>
    </w:lvl>
    <w:lvl w:ilvl="6">
      <w:start w:val="1"/>
      <w:numFmt w:val="decimal"/>
      <w:lvlText w:val="%7)"/>
      <w:lvlJc w:val="start"/>
      <w:pPr>
        <w:tabs>
          <w:tab w:val="num" w:pos="5040"/>
        </w:tabs>
        <w:ind w:start="0" w:firstLine="4320"/>
      </w:pPr>
      <w:rPr>
        <w:smallCaps w:val="false"/>
        <w:caps w:val="false"/>
        <w:i w:val="false"/>
        <w:u w:val="none"/>
        <w:b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i w:val="false"/>
        <w:u w:val="none"/>
        <w:b w:val="false"/>
        <w:rFonts w:ascii="Times New Roman" w:hAnsi="Times New Roman" w:cs="Times New Roman"/>
        <w:color w:val="auto"/>
      </w:rPr>
    </w:lvl>
    <w:lvl w:ilvl="8">
      <w:start w:val="1"/>
      <w:numFmt w:val="lowerRoman"/>
      <w:lvlText w:val="%9)"/>
      <w:lvlJc w:val="start"/>
      <w:pPr>
        <w:tabs>
          <w:tab w:val="num" w:pos="6480"/>
        </w:tabs>
        <w:ind w:start="0" w:firstLine="5760"/>
      </w:pPr>
      <w:rPr>
        <w:smallCaps w:val="false"/>
        <w:caps w:val="false"/>
        <w:i w:val="false"/>
        <w:u w:val="none"/>
        <w:b w:val="false"/>
        <w:rFonts w:ascii="Times New Roman" w:hAnsi="Times New Roman" w:cs="Times New Roman"/>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ParaNum" w:val="Done"/>
    <w:docVar w:name="MPVersion" w:val="2000"/>
    <w:docVar w:name="zzmpFixedCurScheme" w:val="Legal2"/>
    <w:docVar w:name="zzmpFixedCurScheme_9.0" w:val="1zzmpLegal2"/>
    <w:docVar w:name="zzmpFixedDOC_ID" w:val="H:\Docs\5-4 Bracewell AMA.doc"/>
    <w:docVar w:name="zzmpLegal2" w:val="||Legal2|2|3|1|3|0|4||1|0|0||1|0|0||1|0|0||1|0|0||1|0|0||1|0|0||1|0|0||1|0|0||"/>
    <w:docVar w:name="zzmpnSession" w:val="0.182720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pBdr>
        <w:top w:val="single" w:sz="6" w:space="1" w:color="000000"/>
      </w:pBdr>
      <w:spacing w:before="240" w:after="60"/>
      <w:outlineLvl w:val="0"/>
    </w:pPr>
    <w:rPr>
      <w:rFonts w:ascii="Arial" w:hAnsi="Arial" w:cs="Arial"/>
      <w:b/>
      <w:kern w:val="2"/>
    </w:rPr>
  </w:style>
  <w:style w:type="paragraph" w:styleId="Heading2">
    <w:name w:val="heading 2"/>
    <w:basedOn w:val="Normal"/>
    <w:next w:val="Normal"/>
    <w:qFormat/>
    <w:pPr>
      <w:keepNext w:val="true"/>
      <w:widowControl w:val="false"/>
      <w:numPr>
        <w:ilvl w:val="1"/>
        <w:numId w:val="1"/>
      </w:numPr>
      <w:jc w:val="both"/>
      <w:outlineLvl w:val="1"/>
    </w:pPr>
    <w:rPr>
      <w:rFonts w:ascii="Arial" w:hAnsi="Arial" w:cs="Arial"/>
      <w:b/>
    </w:rPr>
  </w:style>
  <w:style w:type="paragraph" w:styleId="Heading3">
    <w:name w:val="heading 3"/>
    <w:basedOn w:val="Normal"/>
    <w:next w:val="Normal"/>
    <w:qFormat/>
    <w:pPr>
      <w:keepNext w:val="true"/>
      <w:widowControl w:val="false"/>
      <w:numPr>
        <w:ilvl w:val="2"/>
        <w:numId w:val="1"/>
      </w:numPr>
      <w:jc w:val="center"/>
      <w:outlineLvl w:val="2"/>
    </w:pPr>
    <w:rPr>
      <w:rFonts w:ascii="Arial" w:hAnsi="Arial" w:cs="Arial"/>
      <w:b/>
    </w:rPr>
  </w:style>
  <w:style w:type="paragraph" w:styleId="Heading4">
    <w:name w:val="heading 4"/>
    <w:basedOn w:val="Normal"/>
    <w:next w:val="Normal"/>
    <w:qFormat/>
    <w:pPr>
      <w:keepNext w:val="true"/>
      <w:numPr>
        <w:ilvl w:val="3"/>
        <w:numId w:val="1"/>
      </w:numPr>
      <w:tabs>
        <w:tab w:val="left" w:pos="36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ind w:hanging="360" w:start="360" w:end="0"/>
      <w:jc w:val="both"/>
      <w:outlineLvl w:val="3"/>
    </w:pPr>
    <w:rPr>
      <w:rFonts w:ascii="Arial" w:hAnsi="Arial" w:cs="Arial"/>
      <w:b/>
    </w:rPr>
  </w:style>
  <w:style w:type="paragraph" w:styleId="Heading5">
    <w:name w:val="heading 5"/>
    <w:basedOn w:val="Normal"/>
    <w:next w:val="BodyText"/>
    <w:qFormat/>
    <w:pPr>
      <w:numPr>
        <w:ilvl w:val="4"/>
        <w:numId w:val="1"/>
      </w:numPr>
      <w:ind w:hanging="0" w:start="720" w:end="0"/>
      <w:outlineLvl w:val="4"/>
    </w:pPr>
    <w:rPr>
      <w:b/>
      <w:lang w:val="en-US"/>
    </w:rPr>
  </w:style>
  <w:style w:type="paragraph" w:styleId="Heading6">
    <w:name w:val="heading 6"/>
    <w:basedOn w:val="Normal"/>
    <w:next w:val="Normal"/>
    <w:qFormat/>
    <w:pPr>
      <w:keepNext w:val="true"/>
      <w:numPr>
        <w:ilvl w:val="5"/>
        <w:numId w:val="1"/>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5"/>
    </w:pPr>
    <w:rPr>
      <w:rFonts w:ascii="Arial" w:hAnsi="Arial" w:cs="Arial"/>
      <w:b/>
      <w:sz w:val="19"/>
    </w:rPr>
  </w:style>
  <w:style w:type="paragraph" w:styleId="Heading7">
    <w:name w:val="heading 7"/>
    <w:basedOn w:val="Normal"/>
    <w:next w:val="Normal"/>
    <w:qFormat/>
    <w:pPr>
      <w:keepNext w:val="true"/>
      <w:widowControl w:val="false"/>
      <w:numPr>
        <w:ilvl w:val="6"/>
        <w:numId w:val="1"/>
      </w:numPr>
      <w:jc w:val="center"/>
      <w:outlineLvl w:val="6"/>
    </w:pPr>
    <w:rPr>
      <w:rFonts w:ascii="Arial" w:hAnsi="Arial" w:cs="Arial"/>
      <w:b/>
      <w:sz w:val="23"/>
    </w:rPr>
  </w:style>
  <w:style w:type="paragraph" w:styleId="Heading8">
    <w:name w:val="heading 8"/>
    <w:basedOn w:val="Normal"/>
    <w:next w:val="Normal"/>
    <w:qFormat/>
    <w:pPr>
      <w:keepNext w:val="true"/>
      <w:numPr>
        <w:ilvl w:val="7"/>
        <w:numId w:val="1"/>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360"/>
      <w:jc w:val="end"/>
      <w:outlineLvl w:val="7"/>
    </w:pPr>
    <w:rPr>
      <w:rFonts w:ascii="Arial" w:hAnsi="Arial" w:cs="Arial"/>
      <w:b/>
      <w:sz w:val="22"/>
    </w:rPr>
  </w:style>
  <w:style w:type="paragraph" w:styleId="Heading9">
    <w:name w:val="heading 9"/>
    <w:basedOn w:val="Normal"/>
    <w:next w:val="Normal"/>
    <w:qFormat/>
    <w:pPr>
      <w:keepNext w:val="true"/>
      <w:numPr>
        <w:ilvl w:val="8"/>
        <w:numId w:val="1"/>
      </w:numPr>
      <w:spacing w:before="120" w:after="0"/>
      <w:jc w:val="both"/>
      <w:outlineLvl w:val="8"/>
    </w:pPr>
    <w:rPr>
      <w:rFonts w:ascii="Arial" w:hAnsi="Arial" w:cs="Arial"/>
      <w:b/>
      <w:sz w:val="22"/>
    </w:rPr>
  </w:style>
  <w:style w:type="character" w:styleId="WW8Num4z0">
    <w:name w:val="WW8Num4z0"/>
    <w:qFormat/>
    <w:rPr>
      <w:rFonts w:ascii="Times New Roman" w:hAnsi="Times New Roman" w:cs="Times New Roman"/>
      <w:b/>
      <w:i w:val="false"/>
      <w:caps/>
      <w:color w:val="000000"/>
      <w:sz w:val="24"/>
      <w:u w:val="none"/>
    </w:rPr>
  </w:style>
  <w:style w:type="character" w:styleId="WW8Num4z1">
    <w:name w:val="WW8Num4z1"/>
    <w:qFormat/>
    <w:rPr>
      <w:rFonts w:ascii="Times New Roman" w:hAnsi="Times New Roman" w:cs="Times New Roman"/>
      <w:b w:val="false"/>
      <w:i w:val="false"/>
      <w:caps w:val="false"/>
      <w:smallCaps w:val="false"/>
      <w:color w:val="000000"/>
      <w:sz w:val="24"/>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1z0">
    <w:name w:val="WW8Num11z0"/>
    <w:qFormat/>
    <w:rPr>
      <w:rFonts w:ascii="Times New Roman" w:hAnsi="Times New Roman" w:cs="Times New Roman"/>
      <w:b w:val="false"/>
      <w:i w:val="false"/>
      <w:caps/>
      <w:color w:val="auto"/>
      <w:sz w:val="24"/>
      <w:u w:val="none"/>
    </w:rPr>
  </w:style>
  <w:style w:type="character" w:styleId="WW8Num11z1">
    <w:name w:val="WW8Num11z1"/>
    <w:qFormat/>
    <w:rPr>
      <w:rFonts w:ascii="Times New Roman" w:hAnsi="Times New Roman" w:cs="Times New Roman"/>
      <w:b w:val="false"/>
      <w:i w:val="false"/>
      <w:caps w:val="false"/>
      <w:smallCaps w:val="false"/>
      <w:color w:val="auto"/>
      <w:sz w:val="24"/>
      <w:u w:val="none"/>
    </w:rPr>
  </w:style>
  <w:style w:type="character" w:styleId="WW8Num14z0">
    <w:name w:val="WW8Num14z0"/>
    <w:qFormat/>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rPr>
  </w:style>
  <w:style w:type="character" w:styleId="WW8Num17z2">
    <w:name w:val="WW8Num17z2"/>
    <w:qFormat/>
    <w:rPr>
      <w:b w:val="false"/>
      <w:i w:val="false"/>
      <w:sz w:val="24"/>
      <w:u w:val="none"/>
    </w:rPr>
  </w:style>
  <w:style w:type="character" w:styleId="WW8Num17z8">
    <w:name w:val="WW8Num17z8"/>
    <w:qFormat/>
    <w:rPr>
      <w:rFonts w:ascii="Symbol" w:hAnsi="Symbol" w:cs="Symbol"/>
      <w:color w:val="auto"/>
      <w:sz w:val="28"/>
    </w:rPr>
  </w:style>
  <w:style w:type="character" w:styleId="WW8Num18z0">
    <w:name w:val="WW8Num18z0"/>
    <w:qFormat/>
    <w:rPr/>
  </w:style>
  <w:style w:type="character" w:styleId="WW8Num19z0">
    <w:name w:val="WW8Num19z0"/>
    <w:qFormat/>
    <w:rPr/>
  </w:style>
  <w:style w:type="character" w:styleId="WW8Num20z0">
    <w:name w:val="WW8Num20z0"/>
    <w:qFormat/>
    <w:rPr>
      <w:rFonts w:ascii="Univers (W1);Arial" w:hAnsi="Univers (W1);Arial" w:cs="Univers (W1);Arial"/>
      <w:sz w:val="18"/>
    </w:rPr>
  </w:style>
  <w:style w:type="character" w:styleId="WW8Num23z0">
    <w:name w:val="WW8Num23z0"/>
    <w:qFormat/>
    <w:rPr>
      <w:rFonts w:ascii="Times New Roman" w:hAnsi="Times New Roman" w:cs="Times New Roman"/>
      <w:b/>
      <w:i w:val="false"/>
      <w:sz w:val="24"/>
    </w:rPr>
  </w:style>
  <w:style w:type="character" w:styleId="WW8Num23z1">
    <w:name w:val="WW8Num23z1"/>
    <w:qFormat/>
    <w:rPr/>
  </w:style>
  <w:style w:type="character" w:styleId="WW8Num24z0">
    <w:name w:val="WW8Num24z0"/>
    <w:qFormat/>
    <w:rPr>
      <w:rFonts w:ascii="Times New Roman" w:hAnsi="Times New Roman" w:cs="Times New Roman"/>
      <w:b/>
      <w:i w:val="false"/>
      <w:caps/>
      <w:sz w:val="24"/>
    </w:rPr>
  </w:style>
  <w:style w:type="character" w:styleId="WW8Num24z1">
    <w:name w:val="WW8Num24z1"/>
    <w:qFormat/>
    <w:rPr>
      <w:rFonts w:ascii="Times New Roman" w:hAnsi="Times New Roman" w:cs="Times New Roman"/>
      <w:b w:val="false"/>
      <w:i w:val="false"/>
      <w:sz w:val="24"/>
      <w:u w:val="none"/>
    </w:rPr>
  </w:style>
  <w:style w:type="character" w:styleId="WW8Num24z2">
    <w:name w:val="WW8Num24z2"/>
    <w:qFormat/>
    <w:rPr>
      <w:rFonts w:ascii="Times New Roman" w:hAnsi="Times New Roman" w:cs="Times New Roman"/>
      <w:b w:val="false"/>
      <w:i w:val="false"/>
      <w:sz w:val="24"/>
    </w:rPr>
  </w:style>
  <w:style w:type="character" w:styleId="WW8Num24z5">
    <w:name w:val="WW8Num24z5"/>
    <w:qFormat/>
    <w:rPr>
      <w:rFonts w:ascii="Times New Roman" w:hAnsi="Times New Roman" w:cs="Times New Roman"/>
      <w:b/>
      <w:i w:val="false"/>
      <w:sz w:val="24"/>
      <w:u w:val="none"/>
    </w:rPr>
  </w:style>
  <w:style w:type="character" w:styleId="WW8Num25z0">
    <w:name w:val="WW8Num25z0"/>
    <w:qFormat/>
    <w:rPr>
      <w:rFonts w:ascii="Times New Roman" w:hAnsi="Times New Roman" w:cs="Times New Roman"/>
      <w:b w:val="false"/>
      <w:i w:val="false"/>
      <w:caps w:val="false"/>
      <w:smallCaps w:val="false"/>
      <w:color w:val="auto"/>
      <w:u w:val="none"/>
    </w:rPr>
  </w:style>
  <w:style w:type="character" w:styleId="WW8Num26z0">
    <w:name w:val="WW8Num26z0"/>
    <w:qFormat/>
    <w:rPr/>
  </w:style>
  <w:style w:type="character" w:styleId="WW8Num28z0">
    <w:name w:val="WW8Num28z0"/>
    <w:qFormat/>
    <w:rPr/>
  </w:style>
  <w:style w:type="character" w:styleId="WW8Num30z0">
    <w:name w:val="WW8Num30z0"/>
    <w:qFormat/>
    <w:rPr/>
  </w:style>
  <w:style w:type="character" w:styleId="WW8NumSt7z0">
    <w:name w:val="WW8NumSt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PersonalComposeStyle">
    <w:name w:val="Personal Compose Style"/>
    <w:basedOn w:val="DefaultParagraphFont"/>
    <w:qFormat/>
    <w:rPr>
      <w:rFonts w:ascii="Arial" w:hAnsi="Arial" w:cs="Arial"/>
      <w:color w:val="000000"/>
      <w:sz w:val="20"/>
    </w:rPr>
  </w:style>
  <w:style w:type="character" w:styleId="PersonalReplyStyle">
    <w:name w:val="Personal Reply Style"/>
    <w:basedOn w:val="DefaultParagraphFont"/>
    <w:qFormat/>
    <w:rPr>
      <w:rFonts w:ascii="Arial" w:hAnsi="Arial" w:cs="Arial"/>
      <w:color w:val="000000"/>
      <w:sz w:val="20"/>
    </w:rPr>
  </w:style>
  <w:style w:type="character" w:styleId="ParaNum">
    <w:name w:val="ParaNum"/>
    <w:basedOn w:val="DefaultParagraphFont"/>
    <w:qFormat/>
    <w:rPr/>
  </w:style>
  <w:style w:type="character" w:styleId="Emphasis">
    <w:name w:val="Emphasis"/>
    <w:basedOn w:val="DefaultParagraphFont"/>
    <w:qFormat/>
    <w:rPr>
      <w:rFonts w:ascii="Times New Roman" w:hAnsi="Times New Roman" w:cs="Times New Roman"/>
      <w:i/>
      <w:iCs/>
      <w:sz w:val="24"/>
    </w:rPr>
  </w:style>
  <w:style w:type="character" w:styleId="Strong">
    <w:name w:val="Strong"/>
    <w:basedOn w:val="DefaultParagraphFont"/>
    <w:qFormat/>
    <w:rPr>
      <w:b/>
      <w:bCs/>
    </w:rPr>
  </w:style>
  <w:style w:type="character" w:styleId="zzmpTrailerItem">
    <w:name w:val="zzmpTrailerItem"/>
    <w:basedOn w:val="DefaultParagraphFont"/>
    <w:qFormat/>
    <w:rPr>
      <w:sz w:val="16"/>
      <w:u w:val="none"/>
      <w:effect w:val="blinkBackground"/>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center"/>
      <w:outlineLvl w:val="0"/>
    </w:pPr>
    <w:rPr>
      <w:b/>
      <w:caps/>
      <w:kern w:val="2"/>
      <w:u w:val="single"/>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widowControl w:val="false"/>
      <w:ind w:hanging="0" w:start="1440" w:end="0"/>
    </w:pPr>
    <w:rPr>
      <w:rFonts w:ascii="Arial" w:hAnsi="Arial" w:cs="Arial"/>
      <w:sz w:val="24"/>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Arial" w:hAnsi="Arial" w:cs="Arial"/>
      <w:sz w:val="19"/>
      <w:lang w:val="en-US"/>
    </w:rPr>
  </w:style>
  <w:style w:type="paragraph" w:styleId="BodyTextIndent3">
    <w:name w:val="Body Text Indent 3"/>
    <w:basedOn w:val="Normal"/>
    <w:qFormat/>
    <w:pPr>
      <w:ind w:hanging="0" w:start="720" w:end="0"/>
    </w:pPr>
    <w:rPr>
      <w:lang w:val="en-US"/>
    </w:rPr>
  </w:style>
  <w:style w:type="paragraph" w:styleId="WW-BodyText2">
    <w:name w:val="WW-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jc w:val="both"/>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Arial" w:hAnsi="Arial" w:cs="Arial"/>
      <w:color w:val="0000FF"/>
      <w:sz w:val="19"/>
    </w:rPr>
  </w:style>
  <w:style w:type="paragraph" w:styleId="BodyText3">
    <w:name w:val="Body Text 3"/>
    <w:basedOn w:val="Normal"/>
    <w:qFormat/>
    <w:pPr>
      <w:spacing w:before="120" w:after="0"/>
      <w:jc w:val="both"/>
      <w:outlineLvl w:val="0"/>
    </w:pPr>
    <w:rPr>
      <w:rFonts w:ascii="Arial" w:hAnsi="Arial" w:cs="Arial"/>
      <w:sz w:val="22"/>
    </w:rPr>
  </w:style>
  <w:style w:type="paragraph" w:styleId="FootnoteText">
    <w:name w:val="footnote text"/>
    <w:basedOn w:val="Normal"/>
    <w:pPr/>
    <w:rPr>
      <w:sz w:val="20"/>
    </w:rPr>
  </w:style>
  <w:style w:type="paragraph" w:styleId="BodyTextFirstIndent">
    <w:name w:val="Body Text First Indent"/>
    <w:basedOn w:val="BodyText"/>
    <w:qFormat/>
    <w:pPr>
      <w:spacing w:before="0" w:after="240"/>
      <w:ind w:firstLine="720" w:start="0" w:end="0"/>
      <w:jc w:val="both"/>
    </w:pPr>
    <w:rPr/>
  </w:style>
  <w:style w:type="paragraph" w:styleId="EnvelopeReturn">
    <w:name w:val="envelope return"/>
    <w:basedOn w:val="Normal"/>
    <w:pPr>
      <w:spacing w:before="2" w:after="0"/>
    </w:pPr>
    <w:rPr>
      <w:rFonts w:ascii="Arrus BT;Georgia" w:hAnsi="Arrus BT;Georgia" w:cs="Arrus BT;Georgia"/>
      <w:sz w:val="16"/>
    </w:rPr>
  </w:style>
  <w:style w:type="paragraph" w:styleId="EnvelopeAddress">
    <w:name w:val="envelope address"/>
    <w:basedOn w:val="Normal"/>
    <w:pPr/>
    <w:rPr/>
  </w:style>
  <w:style w:type="paragraph" w:styleId="BPHeading2">
    <w:name w:val="BPHeading 2"/>
    <w:basedOn w:val="Normal"/>
    <w:next w:val="BodyText"/>
    <w:qFormat/>
    <w:pPr>
      <w:pBdr>
        <w:bottom w:val="single" w:sz="12" w:space="1" w:color="000000"/>
      </w:pBdr>
      <w:autoSpaceDE w:val="false"/>
      <w:spacing w:before="0" w:after="240"/>
      <w:outlineLvl w:val="0"/>
    </w:pPr>
    <w:rPr>
      <w:rFonts w:ascii="Arial" w:hAnsi="Arial" w:cs="Arial"/>
      <w:b/>
      <w:sz w:val="32"/>
    </w:rPr>
  </w:style>
  <w:style w:type="paragraph" w:styleId="BPHeading3">
    <w:name w:val="BPHeading 3"/>
    <w:basedOn w:val="BodyText"/>
    <w:next w:val="BodyText"/>
    <w:qFormat/>
    <w:pPr>
      <w:keepNext w:val="true"/>
      <w:outlineLvl w:val="1"/>
    </w:pPr>
    <w:rPr>
      <w:rFonts w:ascii="Arial" w:hAnsi="Arial" w:cs="Arial"/>
      <w:b/>
      <w:sz w:val="26"/>
      <w:u w:val="thick"/>
    </w:rPr>
  </w:style>
  <w:style w:type="paragraph" w:styleId="TOC1">
    <w:name w:val="toc 1"/>
    <w:basedOn w:val="Normal"/>
    <w:next w:val="Normal"/>
    <w:pPr>
      <w:keepNext w:val="true"/>
      <w:spacing w:before="240" w:after="120"/>
    </w:pPr>
    <w:rPr>
      <w:caps/>
    </w:rPr>
  </w:style>
  <w:style w:type="paragraph" w:styleId="TOC2">
    <w:name w:val="toc 2"/>
    <w:basedOn w:val="TOC1"/>
    <w:pPr>
      <w:keepNext w:val="false"/>
      <w:tabs>
        <w:tab w:val="clear" w:pos="720"/>
        <w:tab w:val="left" w:pos="1440" w:leader="none"/>
        <w:tab w:val="left" w:pos="1800" w:leader="none"/>
        <w:tab w:val="left" w:pos="2160" w:leader="none"/>
        <w:tab w:val="right" w:pos="9360" w:leader="dot"/>
      </w:tabs>
      <w:spacing w:before="0" w:after="0"/>
      <w:ind w:hanging="720" w:start="1080" w:end="720"/>
    </w:pPr>
    <w:rPr>
      <w:caps w:val="false"/>
      <w:smallCaps w:val="false"/>
      <w:lang w:val="en-CA"/>
    </w:rPr>
  </w:style>
  <w:style w:type="paragraph" w:styleId="Legal2Cont1">
    <w:name w:val="Legal2 Cont 1"/>
    <w:basedOn w:val="Normal"/>
    <w:qFormat/>
    <w:pPr>
      <w:spacing w:before="0" w:after="240"/>
    </w:pPr>
    <w:rPr/>
  </w:style>
  <w:style w:type="paragraph" w:styleId="Title2">
    <w:name w:val="Title2"/>
    <w:basedOn w:val="Heading"/>
    <w:qFormat/>
    <w:pPr>
      <w:spacing w:before="0" w:after="240"/>
    </w:pPr>
    <w:rPr>
      <w:caps w:val="false"/>
      <w:smallCaps w:val="false"/>
      <w:u w:val="none"/>
    </w:rPr>
  </w:style>
  <w:style w:type="paragraph" w:styleId="Legal2Cont2">
    <w:name w:val="Legal2 Cont 2"/>
    <w:basedOn w:val="Legal2Cont1"/>
    <w:qFormat/>
    <w:pPr/>
    <w:rPr/>
  </w:style>
  <w:style w:type="paragraph" w:styleId="Legal2Cont3">
    <w:name w:val="Legal2 Cont 3"/>
    <w:basedOn w:val="Legal2Cont2"/>
    <w:qFormat/>
    <w:pPr/>
    <w:rPr/>
  </w:style>
  <w:style w:type="paragraph" w:styleId="Legal2Cont4">
    <w:name w:val="Legal2 Cont 4"/>
    <w:basedOn w:val="Legal2Cont3"/>
    <w:qFormat/>
    <w:pPr/>
    <w:rPr/>
  </w:style>
  <w:style w:type="paragraph" w:styleId="Legal2Cont5">
    <w:name w:val="Legal2 Cont 5"/>
    <w:basedOn w:val="Legal2Cont4"/>
    <w:qFormat/>
    <w:pPr/>
    <w:rPr/>
  </w:style>
  <w:style w:type="paragraph" w:styleId="Legal2Cont6">
    <w:name w:val="Legal2 Cont 6"/>
    <w:basedOn w:val="Legal2Cont5"/>
    <w:qFormat/>
    <w:pPr/>
    <w:rPr/>
  </w:style>
  <w:style w:type="paragraph" w:styleId="Legal2Cont7">
    <w:name w:val="Legal2 Cont 7"/>
    <w:basedOn w:val="Legal2Cont6"/>
    <w:qFormat/>
    <w:pPr/>
    <w:rPr/>
  </w:style>
  <w:style w:type="paragraph" w:styleId="Legal2Cont8">
    <w:name w:val="Legal2 Cont 8"/>
    <w:basedOn w:val="Legal2Cont7"/>
    <w:qFormat/>
    <w:pPr/>
    <w:rPr/>
  </w:style>
  <w:style w:type="paragraph" w:styleId="Legal2Cont9">
    <w:name w:val="Legal2 Cont 9"/>
    <w:basedOn w:val="Legal2Cont8"/>
    <w:qFormat/>
    <w:pPr/>
    <w:rPr/>
  </w:style>
  <w:style w:type="paragraph" w:styleId="Legal2L1">
    <w:name w:val="Legal2_L1"/>
    <w:basedOn w:val="Normal"/>
    <w:next w:val="Legal2L2"/>
    <w:qFormat/>
    <w:pPr>
      <w:keepNext w:val="true"/>
      <w:numPr>
        <w:ilvl w:val="0"/>
        <w:numId w:val="3"/>
      </w:numPr>
      <w:spacing w:before="0" w:after="240"/>
      <w:jc w:val="center"/>
      <w:outlineLvl w:val="0"/>
    </w:pPr>
    <w:rPr>
      <w:u w:val="single"/>
    </w:rPr>
  </w:style>
  <w:style w:type="paragraph" w:styleId="Legal2L2">
    <w:name w:val="Legal2_L2"/>
    <w:basedOn w:val="Legal2L1"/>
    <w:qFormat/>
    <w:pPr>
      <w:keepNext w:val="false"/>
      <w:numPr>
        <w:ilvl w:val="0"/>
        <w:numId w:val="3"/>
      </w:numPr>
      <w:jc w:val="both"/>
      <w:outlineLvl w:val="1"/>
    </w:pPr>
    <w:rPr/>
  </w:style>
  <w:style w:type="paragraph" w:styleId="Legal2L3">
    <w:name w:val="Legal2_L3"/>
    <w:basedOn w:val="Legal2L2"/>
    <w:qFormat/>
    <w:pPr>
      <w:numPr>
        <w:ilvl w:val="0"/>
        <w:numId w:val="3"/>
      </w:numPr>
      <w:outlineLvl w:val="2"/>
    </w:pPr>
    <w:rPr>
      <w:u w:val="none"/>
    </w:rPr>
  </w:style>
  <w:style w:type="paragraph" w:styleId="Legal2L4">
    <w:name w:val="Legal2_L4"/>
    <w:basedOn w:val="Legal2L3"/>
    <w:qFormat/>
    <w:pPr>
      <w:numPr>
        <w:ilvl w:val="0"/>
        <w:numId w:val="3"/>
      </w:numPr>
      <w:outlineLvl w:val="3"/>
    </w:pPr>
    <w:rPr/>
  </w:style>
  <w:style w:type="paragraph" w:styleId="Legal2L5">
    <w:name w:val="Legal2_L5"/>
    <w:basedOn w:val="Legal2L4"/>
    <w:next w:val="BodyText"/>
    <w:qFormat/>
    <w:pPr>
      <w:numPr>
        <w:ilvl w:val="0"/>
        <w:numId w:val="3"/>
      </w:numPr>
      <w:jc w:val="start"/>
      <w:outlineLvl w:val="4"/>
    </w:pPr>
    <w:rPr/>
  </w:style>
  <w:style w:type="paragraph" w:styleId="Legal2L6">
    <w:name w:val="Legal2_L6"/>
    <w:basedOn w:val="Legal2L5"/>
    <w:next w:val="BodyText"/>
    <w:qFormat/>
    <w:pPr>
      <w:numPr>
        <w:ilvl w:val="0"/>
        <w:numId w:val="3"/>
      </w:numPr>
      <w:outlineLvl w:val="5"/>
    </w:pPr>
    <w:rPr/>
  </w:style>
  <w:style w:type="paragraph" w:styleId="Legal2L7">
    <w:name w:val="Legal2_L7"/>
    <w:basedOn w:val="Legal2L6"/>
    <w:next w:val="BodyText"/>
    <w:qFormat/>
    <w:pPr>
      <w:numPr>
        <w:ilvl w:val="0"/>
        <w:numId w:val="3"/>
      </w:numPr>
      <w:outlineLvl w:val="6"/>
    </w:pPr>
    <w:rPr/>
  </w:style>
  <w:style w:type="paragraph" w:styleId="Legal2L8">
    <w:name w:val="Legal2_L8"/>
    <w:basedOn w:val="Legal2L7"/>
    <w:next w:val="BodyText"/>
    <w:qFormat/>
    <w:pPr>
      <w:numPr>
        <w:ilvl w:val="0"/>
        <w:numId w:val="3"/>
      </w:numPr>
      <w:outlineLvl w:val="7"/>
    </w:pPr>
    <w:rPr/>
  </w:style>
  <w:style w:type="paragraph" w:styleId="Legal2L9">
    <w:name w:val="Legal2_L9"/>
    <w:basedOn w:val="Legal2L8"/>
    <w:next w:val="BodyText"/>
    <w:qFormat/>
    <w:pPr>
      <w:numPr>
        <w:ilvl w:val="0"/>
        <w:numId w:val="3"/>
      </w:numPr>
      <w:outlineLvl w:val="8"/>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erm">
    <w:name w:val="Term"/>
    <w:basedOn w:val="Normal"/>
    <w:qFormat/>
    <w:pPr>
      <w:widowControl w:val="false"/>
      <w:spacing w:before="0" w:after="240"/>
      <w:ind w:hanging="1440" w:start="1440" w:end="0"/>
      <w:jc w:val="both"/>
    </w:pPr>
    <w:rPr/>
  </w:style>
  <w:style w:type="paragraph" w:styleId="StandardL1">
    <w:name w:val="Standard_L1"/>
    <w:basedOn w:val="Normal"/>
    <w:qFormat/>
    <w:pPr>
      <w:numPr>
        <w:ilvl w:val="0"/>
        <w:numId w:val="5"/>
      </w:numPr>
      <w:spacing w:before="0" w:after="240"/>
      <w:outlineLvl w:val="0"/>
    </w:pPr>
    <w:rPr/>
  </w:style>
  <w:style w:type="paragraph" w:styleId="StandardL2">
    <w:name w:val="Standard_L2"/>
    <w:basedOn w:val="StandardL1"/>
    <w:qFormat/>
    <w:pPr>
      <w:numPr>
        <w:ilvl w:val="0"/>
        <w:numId w:val="5"/>
      </w:numPr>
      <w:outlineLvl w:val="1"/>
    </w:pPr>
    <w:rPr/>
  </w:style>
  <w:style w:type="paragraph" w:styleId="StandardL3">
    <w:name w:val="Standard_L3"/>
    <w:basedOn w:val="StandardL2"/>
    <w:qFormat/>
    <w:pPr>
      <w:numPr>
        <w:ilvl w:val="0"/>
        <w:numId w:val="5"/>
      </w:numPr>
      <w:outlineLvl w:val="2"/>
    </w:pPr>
    <w:rPr/>
  </w:style>
  <w:style w:type="paragraph" w:styleId="StandardL4">
    <w:name w:val="Standard_L4"/>
    <w:basedOn w:val="StandardL3"/>
    <w:qFormat/>
    <w:pPr>
      <w:numPr>
        <w:ilvl w:val="0"/>
        <w:numId w:val="5"/>
      </w:numPr>
      <w:outlineLvl w:val="3"/>
    </w:pPr>
    <w:rPr/>
  </w:style>
  <w:style w:type="paragraph" w:styleId="StandardL5">
    <w:name w:val="Standard_L5"/>
    <w:basedOn w:val="StandardL4"/>
    <w:qFormat/>
    <w:pPr>
      <w:numPr>
        <w:ilvl w:val="0"/>
        <w:numId w:val="5"/>
      </w:numPr>
      <w:outlineLvl w:val="4"/>
    </w:pPr>
    <w:rPr/>
  </w:style>
  <w:style w:type="paragraph" w:styleId="StandardL6">
    <w:name w:val="Standard_L6"/>
    <w:basedOn w:val="StandardL5"/>
    <w:next w:val="BodyText"/>
    <w:qFormat/>
    <w:pPr>
      <w:numPr>
        <w:ilvl w:val="0"/>
        <w:numId w:val="5"/>
      </w:numPr>
      <w:outlineLvl w:val="5"/>
    </w:pPr>
    <w:rPr/>
  </w:style>
  <w:style w:type="paragraph" w:styleId="StandardL7">
    <w:name w:val="Standard_L7"/>
    <w:basedOn w:val="StandardL6"/>
    <w:next w:val="BodyText"/>
    <w:qFormat/>
    <w:pPr>
      <w:numPr>
        <w:ilvl w:val="0"/>
        <w:numId w:val="5"/>
      </w:numPr>
      <w:outlineLvl w:val="6"/>
    </w:pPr>
    <w:rPr/>
  </w:style>
  <w:style w:type="paragraph" w:styleId="StandardL8">
    <w:name w:val="Standard_L8"/>
    <w:basedOn w:val="StandardL7"/>
    <w:next w:val="BodyText"/>
    <w:qFormat/>
    <w:pPr>
      <w:numPr>
        <w:ilvl w:val="0"/>
        <w:numId w:val="5"/>
      </w:numPr>
      <w:outlineLvl w:val="7"/>
    </w:pPr>
    <w:rPr/>
  </w:style>
  <w:style w:type="paragraph" w:styleId="StandardL9">
    <w:name w:val="Standard_L9"/>
    <w:basedOn w:val="StandardL8"/>
    <w:next w:val="BodyText"/>
    <w:qFormat/>
    <w:pPr>
      <w:numPr>
        <w:ilvl w:val="0"/>
        <w:numId w:val="5"/>
      </w:numPr>
      <w:outlineLvl w:val="8"/>
    </w:pPr>
    <w:rPr/>
  </w:style>
  <w:style w:type="paragraph" w:styleId="NormalIndent">
    <w:name w:val="Normal Indent"/>
    <w:basedOn w:val="Normal"/>
    <w:qFormat/>
    <w:pPr>
      <w:widowControl w:val="false"/>
      <w:spacing w:before="0" w:after="240"/>
      <w:ind w:firstLine="1440" w:start="0" w:end="0"/>
      <w:jc w:val="both"/>
    </w:pPr>
    <w:rPr/>
  </w:style>
  <w:style w:type="paragraph" w:styleId="PlainText">
    <w:name w:val="Plain Text"/>
    <w:basedOn w:val="Normal"/>
    <w:qFormat/>
    <w:pPr/>
    <w:rPr>
      <w:sz w:val="20"/>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2001-05-04T18:55:00Z</dcterms:created>
  <dc:creator>Enron International</dc:creator>
  <dc:description/>
  <dc:language>en-CA</dc:language>
  <cp:lastModifiedBy>WBice</cp:lastModifiedBy>
  <cp:lastPrinted>2001-04-30T17:41:00Z</cp:lastPrinted>
  <dcterms:modified xsi:type="dcterms:W3CDTF">2001-05-04T18:55:00Z</dcterms:modified>
  <cp:revision>2</cp:revision>
  <dc:subject/>
  <dc:title>_ADMINISTRATIVE AND COMMERCIAL</dc:title>
</cp:coreProperties>
</file>