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rate1A"/>
        <w:widowControl/>
        <w:tabs>
          <w:tab w:val="clear" w:pos="4680"/>
        </w:tabs>
        <w:spacing w:before="0" w:after="0"/>
        <w:jc w:val="end"/>
        <w:rPr/>
      </w:pPr>
      <w:r>
        <w:rPr>
          <w:rFonts w:cs="Times New Roman Bold" w:ascii="Times New Roman Bold" w:hAnsi="Times New Roman Bold"/>
          <w:b/>
          <w:smallCaps/>
          <w:u w:val="double"/>
        </w:rPr>
        <w:t>MTH&amp;M 5/4/01 Comments to B&amp;P</w:t>
      </w:r>
      <w:r>
        <w:rPr>
          <w:rFonts w:cs="Times New Roman Bold" w:ascii="Times New Roman Bold" w:hAnsi="Times New Roman Bold"/>
          <w:b/>
          <w:smallCaps/>
        </w:rPr>
        <w:t xml:space="preserve"> DRAFT</w:t>
      </w:r>
    </w:p>
    <w:p>
      <w:pPr>
        <w:pStyle w:val="Normal"/>
        <w:jc w:val="end"/>
        <w:rPr>
          <w:b/>
        </w:rPr>
      </w:pPr>
      <w:r>
        <w:rPr>
          <w:b/>
        </w:rPr>
        <w:t>05/02/01</w:t>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t>May __, 2001</w:t>
      </w:r>
    </w:p>
    <w:p>
      <w:pPr>
        <w:pStyle w:val="Header"/>
        <w:widowControl/>
        <w:tabs>
          <w:tab w:val="clear" w:pos="4320"/>
          <w:tab w:val="clear" w:pos="8640"/>
        </w:tabs>
        <w:rPr/>
      </w:pPr>
      <w:r>
        <w:rPr/>
      </w:r>
    </w:p>
    <w:p>
      <w:pPr>
        <w:pStyle w:val="Normal"/>
        <w:widowControl/>
        <w:rPr/>
      </w:pPr>
      <w:r>
        <w:rPr/>
        <w:t>AIG Highstar Capital, L.P.</w:t>
      </w:r>
    </w:p>
    <w:p>
      <w:pPr>
        <w:pStyle w:val="Normal"/>
        <w:widowControl/>
        <w:rPr/>
      </w:pPr>
      <w:r>
        <w:rPr/>
        <w:t>c/o AIG Global Investment Corp.</w:t>
      </w:r>
    </w:p>
    <w:p>
      <w:pPr>
        <w:pStyle w:val="Normal"/>
        <w:widowControl/>
        <w:rPr/>
      </w:pPr>
      <w:r>
        <w:rPr/>
        <w:t>175 Water Street, 26th Floor</w:t>
      </w:r>
    </w:p>
    <w:p>
      <w:pPr>
        <w:pStyle w:val="Normal"/>
        <w:widowControl/>
        <w:rPr/>
      </w:pPr>
      <w:r>
        <w:rPr/>
        <w:t>New York, NY  10038</w:t>
      </w:r>
    </w:p>
    <w:p>
      <w:pPr>
        <w:pStyle w:val="Normal"/>
        <w:widowControl/>
        <w:rPr/>
      </w:pPr>
      <w:r>
        <w:rPr/>
      </w:r>
    </w:p>
    <w:p>
      <w:pPr>
        <w:pStyle w:val="Header"/>
        <w:widowControl/>
        <w:tabs>
          <w:tab w:val="clear" w:pos="4320"/>
          <w:tab w:val="clear" w:pos="8640"/>
        </w:tabs>
        <w:rPr/>
      </w:pPr>
      <w:r>
        <w:rPr/>
        <w:t>Attention: Robert Percopo</w:t>
      </w:r>
    </w:p>
    <w:p>
      <w:pPr>
        <w:pStyle w:val="Normal"/>
        <w:widowControl/>
        <w:rPr/>
      </w:pPr>
      <w:r>
        <w:rPr/>
      </w:r>
    </w:p>
    <w:p>
      <w:pPr>
        <w:pStyle w:val="Normal"/>
        <w:widowControl/>
        <w:ind w:hanging="720" w:start="720" w:end="0"/>
        <w:rPr/>
      </w:pPr>
      <w:r>
        <w:rPr/>
        <w:t>Re:</w:t>
        <w:tab/>
        <w:t>Brokerage Agreement between ECT Securities Limited Partnership and AIG Highstar Capital, L.P.</w:t>
      </w:r>
    </w:p>
    <w:p>
      <w:pPr>
        <w:pStyle w:val="Normal"/>
        <w:widowControl/>
        <w:ind w:hanging="720" w:start="720" w:end="0"/>
        <w:rPr/>
      </w:pPr>
      <w:r>
        <w:rPr/>
      </w:r>
    </w:p>
    <w:p>
      <w:pPr>
        <w:pStyle w:val="Normal"/>
        <w:widowControl/>
        <w:rPr/>
      </w:pPr>
      <w:r>
        <w:rPr/>
        <w:t>Ladies and Gentlemen:</w:t>
      </w:r>
    </w:p>
    <w:p>
      <w:pPr>
        <w:pStyle w:val="Normal"/>
        <w:widowControl/>
        <w:ind w:hanging="720" w:start="720" w:end="0"/>
        <w:rPr/>
      </w:pPr>
      <w:r>
        <w:rPr/>
      </w:r>
    </w:p>
    <w:p>
      <w:pPr>
        <w:pStyle w:val="BodyText"/>
        <w:widowControl/>
        <w:rPr/>
      </w:pPr>
      <w:r>
        <w:rPr/>
        <w:t>This letter (the “</w:t>
      </w:r>
      <w:r>
        <w:rPr>
          <w:u w:val="single"/>
        </w:rPr>
        <w:t>Letter</w:t>
      </w:r>
      <w:r>
        <w:rPr/>
        <w:t>”) confirms the exclusive engagement of ECT Securities Limited Partnership, a Delaware limited partnership (“</w:t>
      </w:r>
      <w:r>
        <w:rPr>
          <w:u w:val="single"/>
        </w:rPr>
        <w:t>ECT</w:t>
      </w:r>
      <w:r>
        <w:rPr/>
        <w:t>”) to render financial advisory and brokerage services to AIG Highstar Capital, L.P., a Delaware limited partnership (“</w:t>
      </w:r>
      <w:r>
        <w:rPr>
          <w:u w:val="single"/>
        </w:rPr>
        <w:t>Highstar</w:t>
      </w:r>
      <w:r>
        <w:rPr/>
        <w:t>” and, together with ECT, each a “</w:t>
      </w:r>
      <w:r>
        <w:rPr>
          <w:u w:val="single"/>
        </w:rPr>
        <w:t>Party</w:t>
      </w:r>
      <w:r>
        <w:rPr/>
        <w:t>” and collectively the “</w:t>
      </w:r>
      <w:r>
        <w:rPr>
          <w:u w:val="single"/>
        </w:rPr>
        <w:t>Parties</w:t>
      </w:r>
      <w:r>
        <w:rPr/>
        <w:t>”), in connection with the possible sale by Highstar of North Carolina Power Holdings, LLC, a Delaware limited liability company (“</w:t>
      </w:r>
      <w:r>
        <w:rPr>
          <w:u w:val="single"/>
        </w:rPr>
        <w:t>NCPH</w:t>
      </w:r>
      <w:r>
        <w:rPr/>
        <w:t>”), to a third-party purchaser (a “</w:t>
      </w:r>
      <w:r>
        <w:rPr>
          <w:u w:val="single"/>
        </w:rPr>
        <w:t>Buyer</w:t>
      </w:r>
      <w:r>
        <w:rPr/>
        <w:t>”).</w:t>
      </w:r>
    </w:p>
    <w:p>
      <w:pPr>
        <w:pStyle w:val="BodyText"/>
        <w:widowControl/>
        <w:rPr/>
      </w:pPr>
      <w:r>
        <w:rPr/>
      </w:r>
    </w:p>
    <w:p>
      <w:pPr>
        <w:pStyle w:val="BodyText"/>
        <w:widowControl/>
        <w:numPr>
          <w:ilvl w:val="0"/>
          <w:numId w:val="16"/>
        </w:numPr>
        <w:tabs>
          <w:tab w:val="clear" w:pos="720"/>
          <w:tab w:val="left" w:pos="360" w:leader="none"/>
        </w:tabs>
        <w:rPr/>
      </w:pPr>
      <w:r>
        <w:rPr>
          <w:u w:val="single"/>
        </w:rPr>
        <w:t>Definitions</w:t>
      </w:r>
      <w:r>
        <w:rPr/>
        <w:t>.  As used in this Letter, the following terms shall have the indicated meanings:</w:t>
      </w:r>
    </w:p>
    <w:p>
      <w:pPr>
        <w:pStyle w:val="BodyText"/>
        <w:widowControl/>
        <w:numPr>
          <w:ilvl w:val="0"/>
          <w:numId w:val="10"/>
        </w:numPr>
        <w:tabs>
          <w:tab w:val="left" w:pos="720" w:leader="none"/>
        </w:tabs>
        <w:rPr/>
      </w:pPr>
      <w:r>
        <w:rPr/>
        <w:t>“</w:t>
      </w:r>
      <w:r>
        <w:rPr>
          <w:u w:val="single"/>
        </w:rPr>
        <w:t>Affiliate</w:t>
      </w:r>
      <w:r>
        <w:rPr/>
        <w:t>” shall have the meaning given to that term in the Securities Purchase Agreement.</w:t>
      </w:r>
    </w:p>
    <w:p>
      <w:pPr>
        <w:pStyle w:val="BodyText"/>
        <w:widowControl/>
        <w:numPr>
          <w:ilvl w:val="0"/>
          <w:numId w:val="10"/>
        </w:numPr>
        <w:tabs>
          <w:tab w:val="left" w:pos="720" w:leader="none"/>
        </w:tabs>
        <w:rPr/>
      </w:pPr>
      <w:r>
        <w:rPr/>
        <w:t>“</w:t>
      </w:r>
      <w:r>
        <w:rPr>
          <w:u w:val="single"/>
        </w:rPr>
        <w:t>Asset Management Agreement</w:t>
      </w:r>
      <w:r>
        <w:rPr/>
        <w:t>” shall have the meaning given to that term in the Securities Purchase Agreement.</w:t>
      </w:r>
    </w:p>
    <w:p>
      <w:pPr>
        <w:pStyle w:val="BodyText"/>
        <w:widowControl/>
        <w:numPr>
          <w:ilvl w:val="0"/>
          <w:numId w:val="10"/>
        </w:numPr>
        <w:tabs>
          <w:tab w:val="left" w:pos="720" w:leader="none"/>
        </w:tabs>
        <w:rPr/>
      </w:pPr>
      <w:r>
        <w:rPr>
          <w:strike/>
        </w:rPr>
        <w:t>Assets”</w:t>
      </w:r>
      <w:r>
        <w:rPr>
          <w:b/>
          <w:u w:val="double"/>
        </w:rPr>
        <w:t>Assets”</w:t>
      </w:r>
      <w:r>
        <w:rPr/>
        <w:t xml:space="preserve"> shall mean the two 35 MW coal fueled cogeneration plants owned by subsidiaries of NCPH, located in Elizabethtown and Lumberton, North Carolina, together with related improvements and appurtenances, operating permits and the other contracts relating to NCPH and/or the aforesaid plants set forth on </w:t>
      </w:r>
      <w:r>
        <w:rPr>
          <w:strike/>
          <w:u w:val="single"/>
        </w:rPr>
        <w:t>Exhibit A</w:t>
      </w:r>
      <w:r>
        <w:rPr>
          <w:u w:val="single"/>
        </w:rPr>
        <w:t xml:space="preserve"> </w:t>
      </w:r>
      <w:r>
        <w:rPr>
          <w:b/>
          <w:u w:val="double"/>
        </w:rPr>
        <w:t>Schedule 4.1(l)</w:t>
      </w:r>
      <w:r>
        <w:rPr/>
        <w:t xml:space="preserve"> to the Securities Purchase Agreement.</w:t>
      </w:r>
    </w:p>
    <w:p>
      <w:pPr>
        <w:pStyle w:val="BodyText"/>
        <w:widowControl/>
        <w:numPr>
          <w:ilvl w:val="0"/>
          <w:numId w:val="10"/>
        </w:numPr>
        <w:tabs>
          <w:tab w:val="left" w:pos="720" w:leader="none"/>
        </w:tabs>
        <w:rPr>
          <w:b/>
          <w:u w:val="double"/>
        </w:rPr>
      </w:pPr>
      <w:r>
        <w:rPr>
          <w:b/>
          <w:u w:val="double"/>
        </w:rPr>
        <w:t>“</w:t>
      </w:r>
      <w:r>
        <w:rPr>
          <w:b/>
          <w:u w:val="double"/>
        </w:rPr>
        <w:t>Closing Date” shall have the meaning given to that term in the Securities Purchase Agreement.</w:t>
      </w:r>
    </w:p>
    <w:p>
      <w:pPr>
        <w:pStyle w:val="BodyText"/>
        <w:widowControl/>
        <w:numPr>
          <w:ilvl w:val="0"/>
          <w:numId w:val="10"/>
        </w:numPr>
        <w:tabs>
          <w:tab w:val="left" w:pos="720" w:leader="none"/>
        </w:tabs>
        <w:rPr>
          <w:b/>
          <w:u w:val="double"/>
        </w:rPr>
      </w:pPr>
      <w:r>
        <w:rPr>
          <w:b/>
          <w:u w:val="double"/>
        </w:rPr>
        <w:t>“</w:t>
      </w:r>
      <w:r>
        <w:rPr>
          <w:b/>
          <w:u w:val="double"/>
        </w:rPr>
        <w:t>Contingent Consideration” shall have the meaning given to that term in the Securities Purchase Agreement.</w:t>
      </w:r>
    </w:p>
    <w:p>
      <w:pPr>
        <w:pStyle w:val="BodyText"/>
        <w:widowControl/>
        <w:numPr>
          <w:ilvl w:val="0"/>
          <w:numId w:val="10"/>
        </w:numPr>
        <w:tabs>
          <w:tab w:val="left" w:pos="720" w:leader="none"/>
        </w:tabs>
        <w:rPr>
          <w:b/>
          <w:u w:val="double"/>
        </w:rPr>
      </w:pPr>
      <w:r>
        <w:rPr>
          <w:b/>
          <w:u w:val="double"/>
        </w:rPr>
        <w:t>“</w:t>
      </w:r>
      <w:r>
        <w:rPr>
          <w:b/>
          <w:u w:val="double"/>
        </w:rPr>
        <w:t>Contractor” shall have the meaning given to that term in the Asset Management Agreement.</w:t>
      </w:r>
    </w:p>
    <w:p>
      <w:pPr>
        <w:pStyle w:val="BodyText"/>
        <w:widowControl/>
        <w:numPr>
          <w:ilvl w:val="0"/>
          <w:numId w:val="10"/>
        </w:numPr>
        <w:tabs>
          <w:tab w:val="left" w:pos="720" w:leader="none"/>
        </w:tabs>
        <w:rPr>
          <w:b/>
          <w:u w:val="double"/>
        </w:rPr>
      </w:pPr>
      <w:r>
        <w:rPr>
          <w:b/>
          <w:u w:val="double"/>
        </w:rPr>
        <w:t>“</w:t>
      </w:r>
      <w:r>
        <w:rPr>
          <w:b/>
          <w:u w:val="double"/>
        </w:rPr>
        <w:t>ENA” means Enron North America Corp., a Delaware corporation, together with its successors and assigns under the Securities Purchase Agreement.</w:t>
      </w:r>
    </w:p>
    <w:p>
      <w:pPr>
        <w:pStyle w:val="BodyText"/>
        <w:widowControl/>
        <w:numPr>
          <w:ilvl w:val="0"/>
          <w:numId w:val="10"/>
        </w:numPr>
        <w:tabs>
          <w:tab w:val="left" w:pos="720" w:leader="none"/>
        </w:tabs>
        <w:rPr>
          <w:b/>
          <w:u w:val="double"/>
        </w:rPr>
      </w:pPr>
      <w:r>
        <w:rPr>
          <w:b/>
          <w:u w:val="double"/>
        </w:rPr>
        <w:t>“</w:t>
      </w:r>
      <w:r>
        <w:rPr>
          <w:b/>
          <w:u w:val="double"/>
        </w:rPr>
        <w:t>Event of Default” is defined in Paragraph 8.</w:t>
      </w:r>
    </w:p>
    <w:p>
      <w:pPr>
        <w:pStyle w:val="BodyText"/>
        <w:widowControl/>
        <w:numPr>
          <w:ilvl w:val="0"/>
          <w:numId w:val="10"/>
        </w:numPr>
        <w:tabs>
          <w:tab w:val="left" w:pos="720" w:leader="none"/>
        </w:tabs>
        <w:rPr>
          <w:b/>
          <w:u w:val="double"/>
        </w:rPr>
      </w:pPr>
      <w:r>
        <w:rPr>
          <w:b/>
          <w:u w:val="double"/>
        </w:rPr>
        <w:t>“</w:t>
      </w:r>
      <w:r>
        <w:rPr>
          <w:b/>
          <w:u w:val="double"/>
        </w:rPr>
        <w:t>Financial Put Option Agreement” shall have the meaning given to that term in the Securities Purchase Agreement.</w:t>
      </w:r>
    </w:p>
    <w:p>
      <w:pPr>
        <w:pStyle w:val="BodyText"/>
        <w:widowControl/>
        <w:numPr>
          <w:ilvl w:val="0"/>
          <w:numId w:val="10"/>
        </w:numPr>
        <w:tabs>
          <w:tab w:val="left" w:pos="720" w:leader="none"/>
        </w:tabs>
        <w:rPr>
          <w:b/>
          <w:u w:val="double"/>
        </w:rPr>
      </w:pPr>
      <w:r>
        <w:rPr>
          <w:b/>
          <w:u w:val="double"/>
        </w:rPr>
        <w:t>“</w:t>
      </w:r>
      <w:r>
        <w:rPr>
          <w:b/>
          <w:u w:val="double"/>
        </w:rPr>
        <w:t>Indemnified Person” is defined in Paragraph 7(a).</w:t>
      </w:r>
    </w:p>
    <w:p>
      <w:pPr>
        <w:pStyle w:val="BodyText"/>
        <w:widowControl/>
        <w:numPr>
          <w:ilvl w:val="0"/>
          <w:numId w:val="10"/>
        </w:numPr>
        <w:tabs>
          <w:tab w:val="left" w:pos="720" w:leader="none"/>
        </w:tabs>
        <w:rPr>
          <w:b/>
          <w:u w:val="double"/>
        </w:rPr>
      </w:pPr>
      <w:r>
        <w:rPr>
          <w:b/>
          <w:u w:val="double"/>
        </w:rPr>
        <w:t>“</w:t>
      </w:r>
      <w:r>
        <w:rPr>
          <w:b/>
          <w:u w:val="double"/>
        </w:rPr>
        <w:t>Paragraph” means a paragraph of this Letter.</w:t>
      </w:r>
    </w:p>
    <w:p>
      <w:pPr>
        <w:pStyle w:val="BodyText"/>
        <w:widowControl/>
        <w:numPr>
          <w:ilvl w:val="0"/>
          <w:numId w:val="10"/>
        </w:numPr>
        <w:tabs>
          <w:tab w:val="left" w:pos="720" w:leader="none"/>
        </w:tabs>
        <w:rPr/>
      </w:pPr>
      <w:r>
        <w:rPr>
          <w:b/>
          <w:u w:val="double"/>
        </w:rPr>
        <w:t>“</w:t>
      </w:r>
      <w:r>
        <w:rPr>
          <w:b/>
          <w:u w:val="double"/>
        </w:rPr>
        <w:t>Proceeds” shall have the meaning given to that term in the Securities Purchase Agreement.</w:t>
      </w:r>
    </w:p>
    <w:p>
      <w:pPr>
        <w:pStyle w:val="BodyText"/>
        <w:widowControl/>
        <w:numPr>
          <w:ilvl w:val="0"/>
          <w:numId w:val="10"/>
        </w:numPr>
        <w:tabs>
          <w:tab w:val="left" w:pos="720" w:leader="none"/>
        </w:tabs>
        <w:rPr/>
      </w:pPr>
      <w:r>
        <w:rPr/>
        <w:t>“</w:t>
      </w:r>
      <w:r>
        <w:rPr>
          <w:u w:val="single"/>
        </w:rPr>
        <w:t>Sale</w:t>
      </w:r>
      <w:r>
        <w:rPr/>
        <w:t xml:space="preserve">” shall mean the execution of a binding written </w:t>
      </w:r>
      <w:r>
        <w:rPr>
          <w:b/>
          <w:u w:val="double"/>
        </w:rPr>
        <w:t>definitive</w:t>
      </w:r>
      <w:r>
        <w:rPr/>
        <w:t xml:space="preserve"> agreement between Highstar or NCPH and a Buyer, providing for, whether in one or in a series of </w:t>
      </w:r>
      <w:r>
        <w:rPr>
          <w:b/>
          <w:u w:val="double"/>
        </w:rPr>
        <w:t>contemporaneous</w:t>
      </w:r>
      <w:r>
        <w:rPr/>
        <w:t xml:space="preserve"> transactions</w:t>
      </w:r>
      <w:r>
        <w:rPr>
          <w:strike/>
        </w:rPr>
        <w:t>,</w:t>
      </w:r>
      <w:r>
        <w:rPr>
          <w:b/>
          <w:u w:val="double"/>
        </w:rPr>
        <w:t>:</w:t>
      </w:r>
      <w:r>
        <w:rPr/>
        <w:t xml:space="preserve"> (i) any merger or consolidation of NCPH and a Buyer, (ii) the acquisition by a Buyer, directly or indirectly, through public or private purchases, sales or otherwise of all the securities, assets, properties and/or businesses of NCPH, including, without limitation, a sale </w:t>
      </w:r>
      <w:r>
        <w:rPr>
          <w:b/>
          <w:u w:val="double"/>
        </w:rPr>
        <w:t>[</w:t>
      </w:r>
      <w:r>
        <w:rPr/>
        <w:t>or exchange</w:t>
      </w:r>
      <w:r>
        <w:rPr>
          <w:b/>
          <w:u w:val="double"/>
        </w:rPr>
        <w:t>]</w:t>
      </w:r>
      <w:r>
        <w:rPr/>
        <w:t xml:space="preserve"> of capital stock or assets, or a sale of the Assets, or (iii) the formation by Highstar or NCPH and a Buyer, directly or indirectly, of a joint venture, partnership or other vehicle for the purposes of combining all of the securities, assets, properties and/or businesses of NCPH and a Buyer</w:t>
      </w:r>
      <w:r>
        <w:rPr>
          <w:strike/>
        </w:rPr>
        <w:t>, or jointly pursuing a business activity</w:t>
      </w:r>
      <w:r>
        <w:rPr/>
        <w:t>.</w:t>
      </w:r>
    </w:p>
    <w:p>
      <w:pPr>
        <w:pStyle w:val="BodyText"/>
        <w:widowControl/>
        <w:numPr>
          <w:ilvl w:val="0"/>
          <w:numId w:val="10"/>
        </w:numPr>
        <w:tabs>
          <w:tab w:val="left" w:pos="720" w:leader="none"/>
        </w:tabs>
        <w:rPr/>
      </w:pPr>
      <w:r>
        <w:rPr/>
        <w:t>“</w:t>
      </w:r>
      <w:r>
        <w:rPr>
          <w:u w:val="single"/>
        </w:rPr>
        <w:t>Securities Purchase Agreement</w:t>
      </w:r>
      <w:r>
        <w:rPr/>
        <w:t>” shall mean the Securities Purchase Agreement dated as of [</w:t>
      </w:r>
      <w:r>
        <w:rPr>
          <w:b/>
        </w:rPr>
        <w:t>May 11, 2001</w:t>
      </w:r>
      <w:r>
        <w:rPr/>
        <w:t xml:space="preserve">] by and between </w:t>
      </w:r>
      <w:r>
        <w:rPr>
          <w:strike/>
        </w:rPr>
        <w:t>Enron North America Corp., a Delaware corporation,</w:t>
      </w:r>
      <w:r>
        <w:rPr/>
        <w:t xml:space="preserve"> </w:t>
      </w:r>
      <w:r>
        <w:rPr>
          <w:b/>
          <w:u w:val="double"/>
        </w:rPr>
        <w:t>ENA</w:t>
      </w:r>
      <w:r>
        <w:rPr/>
        <w:t xml:space="preserve"> and Highstar.</w:t>
      </w:r>
    </w:p>
    <w:p>
      <w:pPr>
        <w:pStyle w:val="BodyText"/>
        <w:widowControl/>
        <w:numPr>
          <w:ilvl w:val="0"/>
          <w:numId w:val="10"/>
        </w:numPr>
        <w:tabs>
          <w:tab w:val="left" w:pos="720" w:leader="none"/>
        </w:tabs>
        <w:rPr/>
      </w:pPr>
      <w:r>
        <w:rPr/>
        <w:t>“</w:t>
      </w:r>
      <w:r>
        <w:rPr>
          <w:u w:val="single"/>
        </w:rPr>
        <w:t>Transaction Documents</w:t>
      </w:r>
      <w:r>
        <w:rPr/>
        <w:t>” shall mean this Letter, the Asset Management Agreement and the Securities Purchase Agreement.</w:t>
      </w:r>
    </w:p>
    <w:p>
      <w:pPr>
        <w:pStyle w:val="BodyText"/>
        <w:widowControl/>
        <w:numPr>
          <w:ilvl w:val="0"/>
          <w:numId w:val="15"/>
        </w:numPr>
        <w:tabs>
          <w:tab w:val="clear" w:pos="720"/>
          <w:tab w:val="left" w:pos="360" w:leader="none"/>
        </w:tabs>
        <w:rPr/>
      </w:pPr>
      <w:r>
        <w:rPr>
          <w:u w:val="single"/>
        </w:rPr>
        <w:t>Services to be Rendered</w:t>
      </w:r>
      <w:r>
        <w:rPr/>
        <w:t>.  ECT will perform such brokerage services as Highstar may reasonably request, including the following:</w:t>
      </w:r>
    </w:p>
    <w:p>
      <w:pPr>
        <w:pStyle w:val="Normal"/>
        <w:widowControl/>
        <w:numPr>
          <w:ilvl w:val="0"/>
          <w:numId w:val="6"/>
        </w:numPr>
        <w:tabs>
          <w:tab w:val="left" w:pos="720" w:leader="none"/>
          <w:tab w:val="left" w:pos="1080" w:leader="none"/>
        </w:tabs>
        <w:spacing w:before="0" w:after="120"/>
        <w:jc w:val="both"/>
        <w:rPr/>
      </w:pPr>
      <w:r>
        <w:rPr/>
        <w:t>ECT will advise and assist Highstar in developing and implementing a general strategy for accomplishing a Sale;</w:t>
      </w:r>
    </w:p>
    <w:p>
      <w:pPr>
        <w:pStyle w:val="Normal"/>
        <w:widowControl/>
        <w:numPr>
          <w:ilvl w:val="0"/>
          <w:numId w:val="6"/>
        </w:numPr>
        <w:tabs>
          <w:tab w:val="left" w:pos="720" w:leader="none"/>
          <w:tab w:val="left" w:pos="1080" w:leader="none"/>
        </w:tabs>
        <w:spacing w:before="0" w:after="120"/>
        <w:jc w:val="both"/>
        <w:rPr/>
      </w:pPr>
      <w:r>
        <w:rPr/>
        <w:t>ECT will develop a list of potential Buyers for the Sale and consult with Highstar from time to time as to such potential Buyers;</w:t>
      </w:r>
    </w:p>
    <w:p>
      <w:pPr>
        <w:pStyle w:val="Normal"/>
        <w:widowControl/>
        <w:numPr>
          <w:ilvl w:val="0"/>
          <w:numId w:val="6"/>
        </w:numPr>
        <w:tabs>
          <w:tab w:val="left" w:pos="720" w:leader="none"/>
          <w:tab w:val="left" w:pos="1080" w:leader="none"/>
        </w:tabs>
        <w:spacing w:before="0" w:after="120"/>
        <w:jc w:val="both"/>
        <w:rPr/>
      </w:pPr>
      <w:r>
        <w:rPr/>
        <w:t>ECT will assist Highstar in preparing a memorandum, for distribution to potential Buyers selected by ECT and Highstar, describing NCPH and its business, operations, properties, financial condition and prospects;</w:t>
      </w:r>
    </w:p>
    <w:p>
      <w:pPr>
        <w:pStyle w:val="Normal"/>
        <w:widowControl/>
        <w:numPr>
          <w:ilvl w:val="0"/>
          <w:numId w:val="6"/>
        </w:numPr>
        <w:tabs>
          <w:tab w:val="left" w:pos="720" w:leader="none"/>
          <w:tab w:val="left" w:pos="1080" w:leader="none"/>
        </w:tabs>
        <w:spacing w:before="0" w:after="120"/>
        <w:jc w:val="both"/>
        <w:rPr/>
      </w:pPr>
      <w:r>
        <w:rPr/>
        <w:t>ECT will, on behalf of Highstar, contact such potential Buyers and hold preliminary discussions with such potential Buyers concerning their interest in a Sale;</w:t>
      </w:r>
    </w:p>
    <w:p>
      <w:pPr>
        <w:pStyle w:val="Normal"/>
        <w:widowControl/>
        <w:numPr>
          <w:ilvl w:val="0"/>
          <w:numId w:val="6"/>
        </w:numPr>
        <w:tabs>
          <w:tab w:val="left" w:pos="720" w:leader="none"/>
          <w:tab w:val="left" w:pos="1080" w:leader="none"/>
        </w:tabs>
        <w:spacing w:before="0" w:after="120"/>
        <w:jc w:val="both"/>
        <w:rPr/>
      </w:pPr>
      <w:r>
        <w:rPr>
          <w:strike/>
        </w:rPr>
        <w:t>except for the Transaction Documents,</w:t>
      </w:r>
      <w:r>
        <w:rPr/>
        <w:t xml:space="preserve"> ECT will provide potential Buyers with such information as is </w:t>
      </w:r>
      <w:r>
        <w:rPr>
          <w:b/>
          <w:u w:val="double"/>
        </w:rPr>
        <w:t>in its possession as of the Effective Date or as is</w:t>
      </w:r>
      <w:r>
        <w:rPr/>
        <w:t xml:space="preserve"> disclosed and delivered to ECT by NCPH concerning NCPH and its business </w:t>
      </w:r>
      <w:r>
        <w:rPr>
          <w:b/>
          <w:u w:val="double"/>
        </w:rPr>
        <w:t>(provided that in no event shall ECT provide the Transaction Documents to any potential Buyer);</w:t>
      </w:r>
      <w:r>
        <w:rPr>
          <w:strike/>
        </w:rPr>
        <w:t>;</w:t>
      </w:r>
    </w:p>
    <w:p>
      <w:pPr>
        <w:pStyle w:val="Normal"/>
        <w:widowControl/>
        <w:numPr>
          <w:ilvl w:val="0"/>
          <w:numId w:val="6"/>
        </w:numPr>
        <w:tabs>
          <w:tab w:val="left" w:pos="720" w:leader="none"/>
          <w:tab w:val="left" w:pos="1080" w:leader="none"/>
        </w:tabs>
        <w:spacing w:before="0" w:after="120"/>
        <w:jc w:val="both"/>
        <w:rPr/>
      </w:pPr>
      <w:r>
        <w:rPr>
          <w:strike/>
        </w:rPr>
        <w:t>ECT will keep Highstar generally informed as to the status of negotiations with potential Buyers and give Highstar a reasonable opportunity to participate with ECT in the course of its</w:t>
      </w:r>
      <w:r>
        <w:rPr/>
        <w:t xml:space="preserve"> </w:t>
      </w:r>
      <w:r>
        <w:rPr>
          <w:b/>
          <w:u w:val="double"/>
        </w:rPr>
        <w:t>ECT will advise, assist and participate with Highstar in the course of Highstar’s</w:t>
      </w:r>
      <w:r>
        <w:rPr/>
        <w:t xml:space="preserve"> negotiation of a Sale with such potential Buyers;</w:t>
      </w:r>
    </w:p>
    <w:p>
      <w:pPr>
        <w:pStyle w:val="Normal"/>
        <w:widowControl/>
        <w:numPr>
          <w:ilvl w:val="0"/>
          <w:numId w:val="6"/>
        </w:numPr>
        <w:tabs>
          <w:tab w:val="left" w:pos="720" w:leader="none"/>
          <w:tab w:val="left" w:pos="1080" w:leader="none"/>
        </w:tabs>
        <w:spacing w:before="0" w:after="120"/>
        <w:jc w:val="both"/>
        <w:rPr/>
      </w:pPr>
      <w:r>
        <w:rPr/>
        <w:t>ECT will cooperate in all reasonable respects with Highstar in obtaining any regulatory approvals required for consummation of a Sale;</w:t>
      </w:r>
    </w:p>
    <w:p>
      <w:pPr>
        <w:pStyle w:val="Normal"/>
        <w:widowControl/>
        <w:numPr>
          <w:ilvl w:val="0"/>
          <w:numId w:val="6"/>
        </w:numPr>
        <w:tabs>
          <w:tab w:val="left" w:pos="720" w:leader="none"/>
          <w:tab w:val="left" w:pos="1080" w:leader="none"/>
        </w:tabs>
        <w:spacing w:before="0" w:after="120"/>
        <w:jc w:val="both"/>
        <w:rPr/>
      </w:pPr>
      <w:r>
        <w:rPr/>
        <w:t>ECT will advise Highstar as to the structure, purchase price and the terms and conditions of a proposed Sale; and</w:t>
      </w:r>
    </w:p>
    <w:p>
      <w:pPr>
        <w:pStyle w:val="Normal"/>
        <w:widowControl/>
        <w:numPr>
          <w:ilvl w:val="0"/>
          <w:numId w:val="6"/>
        </w:numPr>
        <w:tabs>
          <w:tab w:val="left" w:pos="720" w:leader="none"/>
          <w:tab w:val="left" w:pos="1080" w:leader="none"/>
        </w:tabs>
        <w:spacing w:before="0" w:after="120"/>
        <w:jc w:val="both"/>
        <w:rPr/>
      </w:pPr>
      <w:r>
        <w:rPr/>
        <w:t xml:space="preserve">ECT will render such other advisory services as may be incidental to an actual or proposed Sale and as from time to time </w:t>
      </w:r>
      <w:r>
        <w:rPr>
          <w:b/>
          <w:u w:val="double"/>
        </w:rPr>
        <w:t>may</w:t>
      </w:r>
      <w:r>
        <w:rPr/>
        <w:t xml:space="preserve"> be agreed upon by ECT and Highstar.</w:t>
      </w:r>
    </w:p>
    <w:p>
      <w:pPr>
        <w:pStyle w:val="Normal"/>
        <w:widowControl/>
        <w:tabs>
          <w:tab w:val="left" w:pos="720" w:leader="none"/>
        </w:tabs>
        <w:spacing w:before="0" w:after="120"/>
        <w:jc w:val="both"/>
        <w:rPr/>
      </w:pPr>
      <w:r>
        <w:rPr/>
        <w:t xml:space="preserve">In rendering the services contemplated by this Paragraph 2, ECT shall act as would a reasonable and prudent broker acting for its own account and shall use commercially reasonable efforts to achieve a Sale on </w:t>
      </w:r>
      <w:r>
        <w:rPr>
          <w:b/>
          <w:u w:val="double"/>
        </w:rPr>
        <w:t>terms</w:t>
      </w:r>
      <w:r>
        <w:rPr/>
        <w:t xml:space="preserve"> favorable </w:t>
      </w:r>
      <w:r>
        <w:rPr>
          <w:strike/>
        </w:rPr>
        <w:t>terms</w:t>
      </w:r>
      <w:r>
        <w:rPr/>
        <w:t xml:space="preserve"> </w:t>
      </w:r>
      <w:r>
        <w:rPr>
          <w:b/>
          <w:u w:val="double"/>
        </w:rPr>
        <w:t>to Highstar</w:t>
      </w:r>
      <w:r>
        <w:rPr/>
        <w:t xml:space="preserve">.  </w:t>
      </w:r>
    </w:p>
    <w:p>
      <w:pPr>
        <w:pStyle w:val="Normal"/>
        <w:widowControl/>
        <w:numPr>
          <w:ilvl w:val="0"/>
          <w:numId w:val="5"/>
        </w:numPr>
        <w:tabs>
          <w:tab w:val="left" w:pos="576" w:leader="none"/>
          <w:tab w:val="left" w:pos="720" w:leader="none"/>
        </w:tabs>
        <w:spacing w:before="0" w:after="120"/>
        <w:jc w:val="both"/>
        <w:rPr/>
      </w:pPr>
      <w:r>
        <w:rPr>
          <w:u w:val="single"/>
        </w:rPr>
        <w:t>Compensation</w:t>
      </w:r>
      <w:r>
        <w:rPr/>
        <w:t>.</w:t>
      </w:r>
    </w:p>
    <w:p>
      <w:pPr>
        <w:pStyle w:val="Normal"/>
        <w:widowControl/>
        <w:numPr>
          <w:ilvl w:val="0"/>
          <w:numId w:val="9"/>
        </w:numPr>
        <w:tabs>
          <w:tab w:val="left" w:pos="720" w:leader="none"/>
          <w:tab w:val="left" w:pos="1080" w:leader="none"/>
        </w:tabs>
        <w:spacing w:before="0" w:after="120"/>
        <w:jc w:val="both"/>
        <w:rPr/>
      </w:pPr>
      <w:r>
        <w:rPr>
          <w:b/>
          <w:u w:val="double"/>
        </w:rPr>
        <w:t>Commission.  Subject to the limitations set out in Paragraph 3(b),</w:t>
      </w:r>
      <w:r>
        <w:rPr/>
        <w:t xml:space="preserve"> Highstar agrees to pay ECT </w:t>
      </w:r>
      <w:r>
        <w:rPr>
          <w:b/>
          <w:u w:val="double"/>
        </w:rPr>
        <w:t>from ENA’s share of the Contingent Compensation by deducting from such share</w:t>
      </w:r>
      <w:r>
        <w:rPr/>
        <w:t xml:space="preserve">, and ECT agrees to accept as compensation for its services in connection with a Sale, a commission equal to </w:t>
      </w:r>
      <w:r>
        <w:rPr>
          <w:b/>
          <w:u w:val="double"/>
        </w:rPr>
        <w:t>the lesser of (i) the amount of such Contingent Consideration and (ii)</w:t>
      </w:r>
      <w:r>
        <w:rPr/>
        <w:t xml:space="preserve"> Two Hundred Fifty Thousand and No/100 U.S. Dollars ($250,000) (the “</w:t>
      </w:r>
      <w:r>
        <w:rPr>
          <w:u w:val="single"/>
        </w:rPr>
        <w:t>Commission</w:t>
      </w:r>
      <w:r>
        <w:rPr/>
        <w:t>”).</w:t>
      </w:r>
    </w:p>
    <w:p>
      <w:pPr>
        <w:pStyle w:val="Normal"/>
        <w:widowControl/>
        <w:numPr>
          <w:ilvl w:val="0"/>
          <w:numId w:val="9"/>
        </w:numPr>
        <w:tabs>
          <w:tab w:val="left" w:pos="720" w:leader="none"/>
          <w:tab w:val="left" w:pos="1080" w:leader="none"/>
        </w:tabs>
        <w:spacing w:before="0" w:after="120"/>
        <w:jc w:val="both"/>
        <w:rPr/>
      </w:pPr>
      <w:r>
        <w:rPr>
          <w:b/>
          <w:u w:val="double"/>
        </w:rPr>
        <w:t>Conditional Nature of Commission.</w:t>
      </w:r>
      <w:r>
        <w:rPr/>
        <w:t xml:space="preserve">  No Commission </w:t>
      </w:r>
      <w:r>
        <w:rPr>
          <w:b/>
          <w:u w:val="double"/>
        </w:rPr>
        <w:t>hereunder</w:t>
      </w:r>
      <w:r>
        <w:rPr/>
        <w:t xml:space="preserve"> shall be deemed earned by ECT until a Sale has </w:t>
      </w:r>
      <w:r>
        <w:rPr>
          <w:strike/>
        </w:rPr>
        <w:t>occurred and closed.</w:t>
      </w:r>
      <w:r>
        <w:rPr/>
        <w:t xml:space="preserve"> </w:t>
      </w:r>
      <w:r>
        <w:rPr>
          <w:b/>
          <w:u w:val="double"/>
        </w:rPr>
        <w:t>been consummated and Highstar has received all of the Proceeds of such Sale.</w:t>
      </w:r>
    </w:p>
    <w:p>
      <w:pPr>
        <w:pStyle w:val="Normal"/>
        <w:widowControl/>
        <w:numPr>
          <w:ilvl w:val="0"/>
          <w:numId w:val="8"/>
        </w:numPr>
        <w:tabs>
          <w:tab w:val="left" w:pos="360" w:leader="none"/>
          <w:tab w:val="left" w:pos="720" w:leader="none"/>
        </w:tabs>
        <w:spacing w:before="0" w:after="120"/>
        <w:jc w:val="both"/>
        <w:rPr/>
      </w:pPr>
      <w:r>
        <w:rPr>
          <w:u w:val="single"/>
        </w:rPr>
        <w:t>Term</w:t>
      </w:r>
      <w:r>
        <w:rPr/>
        <w:t xml:space="preserve">.  This Letter shall continue until the earliest to occur of: </w:t>
      </w:r>
      <w:r>
        <w:rPr>
          <w:strike/>
        </w:rPr>
        <w:t>(i)</w:t>
      </w:r>
      <w:r>
        <w:rPr>
          <w:b/>
          <w:u w:val="double"/>
        </w:rPr>
        <w:t>(a)</w:t>
      </w:r>
      <w:r>
        <w:rPr/>
        <w:t xml:space="preserve"> the consummation of a Sale; </w:t>
      </w:r>
      <w:r>
        <w:rPr>
          <w:strike/>
        </w:rPr>
        <w:t>(ii)</w:t>
      </w:r>
      <w:r>
        <w:rPr>
          <w:b/>
          <w:u w:val="double"/>
        </w:rPr>
        <w:t>(b)</w:t>
      </w:r>
      <w:r>
        <w:rPr/>
        <w:t xml:space="preserve"> the termination of this Letter by ECT at its election upon 30 days’ prior written notice to Highstar; or </w:t>
      </w:r>
      <w:r>
        <w:rPr>
          <w:strike/>
        </w:rPr>
        <w:t>(iii)</w:t>
      </w:r>
      <w:r>
        <w:rPr>
          <w:b/>
          <w:u w:val="double"/>
        </w:rPr>
        <w:t>(c)</w:t>
      </w:r>
      <w:r>
        <w:rPr/>
        <w:t xml:space="preserve"> the termination of this Letter by either Party in accordance with Paragraph </w:t>
      </w:r>
      <w:r>
        <w:rPr>
          <w:strike/>
        </w:rPr>
        <w:t>9</w:t>
      </w:r>
      <w:r>
        <w:rPr/>
        <w:t xml:space="preserve"> </w:t>
      </w:r>
      <w:r>
        <w:rPr>
          <w:b/>
          <w:u w:val="double"/>
        </w:rPr>
        <w:t>8</w:t>
      </w:r>
      <w:r>
        <w:rPr/>
        <w:t xml:space="preserve">; provided that, in the event that a Sale has not been entered into as of December 31, 2002, ECT’s exclusive right to act as a broker for the Sale shall terminate, but ECT shall, except as otherwise provided herein, retain the right to receive the Commission until the termination of this Letter in accordance with this </w:t>
      </w:r>
      <w:r>
        <w:rPr>
          <w:strike/>
        </w:rPr>
        <w:t>paragraph</w:t>
      </w:r>
      <w:r>
        <w:rPr/>
        <w:t xml:space="preserve"> </w:t>
      </w:r>
      <w:r>
        <w:rPr>
          <w:b/>
          <w:u w:val="double"/>
        </w:rPr>
        <w:t>Paragraph</w:t>
      </w:r>
      <w:r>
        <w:rPr/>
        <w:t xml:space="preserve">.  </w:t>
      </w:r>
    </w:p>
    <w:p>
      <w:pPr>
        <w:pStyle w:val="Normal"/>
        <w:numPr>
          <w:ilvl w:val="0"/>
          <w:numId w:val="8"/>
        </w:numPr>
        <w:tabs>
          <w:tab w:val="left" w:pos="360" w:leader="none"/>
          <w:tab w:val="left" w:pos="720" w:leader="none"/>
        </w:tabs>
        <w:spacing w:before="0" w:after="120"/>
        <w:jc w:val="both"/>
        <w:rPr/>
      </w:pPr>
      <w:r>
        <w:rPr>
          <w:u w:val="single"/>
        </w:rPr>
        <w:t>Cooperation</w:t>
      </w:r>
      <w:r>
        <w:rPr/>
        <w:t xml:space="preserve">.  </w:t>
      </w:r>
    </w:p>
    <w:p>
      <w:pPr>
        <w:pStyle w:val="Normal"/>
        <w:numPr>
          <w:ilvl w:val="0"/>
          <w:numId w:val="14"/>
        </w:numPr>
        <w:tabs>
          <w:tab w:val="left" w:pos="720" w:leader="none"/>
          <w:tab w:val="left" w:pos="1080" w:leader="none"/>
        </w:tabs>
        <w:spacing w:before="0" w:after="120"/>
        <w:ind w:hanging="360" w:start="1080" w:end="0"/>
        <w:jc w:val="both"/>
        <w:rPr/>
      </w:pPr>
      <w:r>
        <w:rPr/>
        <w:t xml:space="preserve">Highstar shall furnish ECT with all information and data </w:t>
      </w:r>
      <w:r>
        <w:rPr>
          <w:b/>
          <w:u w:val="double"/>
        </w:rPr>
        <w:t>generated following the Closing Date regarding NCPH and the Assets</w:t>
      </w:r>
      <w:r>
        <w:rPr/>
        <w:t xml:space="preserve"> which ECT shall reasonably deem appropriate and which Highstar may provide without material </w:t>
      </w:r>
      <w:r>
        <w:rPr>
          <w:strike/>
        </w:rPr>
        <w:t>exposure</w:t>
      </w:r>
      <w:r>
        <w:rPr/>
        <w:t xml:space="preserve"> </w:t>
      </w:r>
      <w:r>
        <w:rPr>
          <w:b/>
          <w:u w:val="double"/>
        </w:rPr>
        <w:t>expense</w:t>
      </w:r>
      <w:r>
        <w:rPr/>
        <w:t xml:space="preserve"> or efforts in connection with its activities on Highstar’s behalf and shall provide ECT reasonable access to </w:t>
      </w:r>
      <w:r>
        <w:rPr>
          <w:strike/>
        </w:rPr>
        <w:t>Highstar’s</w:t>
      </w:r>
      <w:r>
        <w:rPr/>
        <w:t xml:space="preserve"> </w:t>
      </w:r>
      <w:r>
        <w:rPr>
          <w:b/>
          <w:u w:val="double"/>
        </w:rPr>
        <w:t>NCPH’s</w:t>
      </w:r>
      <w:r>
        <w:rPr/>
        <w:t xml:space="preserve"> officers, </w:t>
      </w:r>
      <w:r>
        <w:rPr>
          <w:strike/>
        </w:rPr>
        <w:t>directors, employees</w:t>
      </w:r>
      <w:r>
        <w:rPr/>
        <w:t xml:space="preserve"> </w:t>
      </w:r>
      <w:r>
        <w:rPr>
          <w:b/>
          <w:u w:val="double"/>
        </w:rPr>
        <w:t>managers</w:t>
      </w:r>
      <w:r>
        <w:rPr/>
        <w:t xml:space="preserve"> and professional advisors.  Highstar shall involve ECT in or keep ECT apprised of all material discussions between Highstar and potential Buyers </w:t>
      </w:r>
      <w:r>
        <w:rPr>
          <w:strike/>
        </w:rPr>
        <w:t>and shall make available to ECT all material information regarding potential Buyers which Highstar receives from any source whatsoever</w:t>
      </w:r>
      <w:r>
        <w:rPr/>
        <w:t>.</w:t>
      </w:r>
    </w:p>
    <w:p>
      <w:pPr>
        <w:pStyle w:val="Normal"/>
        <w:numPr>
          <w:ilvl w:val="0"/>
          <w:numId w:val="14"/>
        </w:numPr>
        <w:tabs>
          <w:tab w:val="left" w:pos="720" w:leader="none"/>
          <w:tab w:val="left" w:pos="1080" w:leader="none"/>
        </w:tabs>
        <w:spacing w:before="0" w:after="120"/>
        <w:ind w:hanging="360" w:start="1080" w:end="0"/>
        <w:jc w:val="both"/>
        <w:rPr/>
      </w:pPr>
      <w:r>
        <w:rPr/>
        <w:t xml:space="preserve">Highstar recognizes and confirms that ECT, in acting pursuant to this engagement, will be using information in public reports and other information provided by others, including information provided by Highstar and potential Buyers or their respective officers, employees, auditors, attorneys or other agents, and that ECT does not assume responsibility for, and may rely without independent verification upon, the accuracy and completeness of any such information.  Highstar acknowledges its understanding that ECT shall not undertake to make an independent appraisal of any of the </w:t>
      </w:r>
      <w:r>
        <w:rPr>
          <w:strike/>
        </w:rPr>
        <w:t>assets of Highstar</w:t>
      </w:r>
      <w:r>
        <w:rPr/>
        <w:t xml:space="preserve"> </w:t>
      </w:r>
      <w:r>
        <w:rPr>
          <w:b/>
          <w:u w:val="double"/>
        </w:rPr>
        <w:t>Assets</w:t>
      </w:r>
      <w:r>
        <w:rPr/>
        <w:t xml:space="preserve">.  Highstar alone shall be responsible for making its own independent assessment of the risks, benefits and suitability of a Sale. </w:t>
      </w:r>
    </w:p>
    <w:p>
      <w:pPr>
        <w:pStyle w:val="Normal"/>
        <w:numPr>
          <w:ilvl w:val="0"/>
          <w:numId w:val="14"/>
        </w:numPr>
        <w:tabs>
          <w:tab w:val="left" w:pos="720" w:leader="none"/>
          <w:tab w:val="left" w:pos="1080" w:leader="none"/>
        </w:tabs>
        <w:spacing w:before="0" w:after="120"/>
        <w:ind w:hanging="360" w:start="1080" w:end="0"/>
        <w:jc w:val="both"/>
        <w:rPr/>
      </w:pPr>
      <w:r>
        <w:rPr/>
        <w:t>Highstar agrees that ECT’s advice is for the use and information of Highstar’s management and investment and advisory committees only and may not be relied upon by others.  Highstar will not</w:t>
      </w:r>
      <w:r>
        <w:rPr>
          <w:b/>
          <w:u w:val="double"/>
        </w:rPr>
        <w:t>, without ECT’s prior written consent (not to be unreasonably withheld),</w:t>
      </w:r>
      <w:r>
        <w:rPr/>
        <w:t xml:space="preserve"> disclose such advice to others </w:t>
      </w:r>
      <w:r>
        <w:rPr>
          <w:strike/>
        </w:rPr>
        <w:t>(except</w:t>
      </w:r>
      <w:r>
        <w:rPr/>
        <w:t xml:space="preserve"> </w:t>
      </w:r>
      <w:r>
        <w:rPr>
          <w:b/>
          <w:u w:val="double"/>
        </w:rPr>
        <w:t>except (i)</w:t>
      </w:r>
      <w:r>
        <w:rPr/>
        <w:t xml:space="preserve"> Highstar’s professional advisors </w:t>
      </w:r>
      <w:r>
        <w:rPr>
          <w:strike/>
        </w:rPr>
        <w:t>and partners and except</w:t>
      </w:r>
      <w:r>
        <w:rPr>
          <w:b/>
          <w:u w:val="double"/>
        </w:rPr>
        <w:t>, Highstar’s partners and their officers, directors, employees, representatives, auditors and professional advisors who have a need to know such information in order for Highstar to make determinations regarding the Assets or potential Sales and (ii) (A)</w:t>
      </w:r>
      <w:r>
        <w:rPr/>
        <w:t xml:space="preserve"> as required by applicable law, regulation or judicial, arbitral or administrative process </w:t>
      </w:r>
      <w:r>
        <w:rPr>
          <w:strike/>
        </w:rPr>
        <w:t>) or summarize or refer to such advice without, in each case, ECT’s prior written consent (not to be unreasonably withheld).</w:t>
      </w:r>
      <w:r>
        <w:rPr/>
        <w:t xml:space="preserve"> </w:t>
      </w:r>
      <w:r>
        <w:rPr>
          <w:b/>
          <w:u w:val="double"/>
        </w:rPr>
        <w:t>or (B) as requested or required by any regulatory authority having jurisdiction over Highstar or its Affiliates or its partners.</w:t>
      </w:r>
    </w:p>
    <w:p>
      <w:pPr>
        <w:pStyle w:val="Normal"/>
        <w:numPr>
          <w:ilvl w:val="0"/>
          <w:numId w:val="14"/>
        </w:numPr>
        <w:tabs>
          <w:tab w:val="left" w:pos="720" w:leader="none"/>
          <w:tab w:val="left" w:pos="1080" w:leader="none"/>
        </w:tabs>
        <w:spacing w:before="0" w:after="120"/>
        <w:ind w:hanging="360" w:start="1080" w:end="0"/>
        <w:jc w:val="both"/>
        <w:rPr/>
      </w:pPr>
      <w:r>
        <w:rPr/>
        <w:t xml:space="preserve">ECT agrees that it will not, without the prior written consent of Highstar, disclose to any person, other than ECT’s and its Affiliates’ respective officers, directors, employees, representatives, auditors and professional advisors who have a need to know such information in order for ECT to provide services hereunder, any information designated by Highstar </w:t>
      </w:r>
      <w:r>
        <w:rPr>
          <w:strike/>
        </w:rPr>
        <w:t>in writing</w:t>
      </w:r>
      <w:r>
        <w:rPr/>
        <w:t xml:space="preserve"> as “confidential information” and provided by Highstar to ECT in connection with this engagement, except to the extent (i) such disclosure is required by applicable law, regulation or judicial, arbitral or administrative process, or (ii) such disclosure is requested or required by any regulatory authority having jurisdiction over ECT or its Affiliates.</w:t>
      </w:r>
    </w:p>
    <w:p>
      <w:pPr>
        <w:pStyle w:val="Normal"/>
        <w:numPr>
          <w:ilvl w:val="0"/>
          <w:numId w:val="14"/>
        </w:numPr>
        <w:tabs>
          <w:tab w:val="left" w:pos="720" w:leader="none"/>
          <w:tab w:val="left" w:pos="1080" w:leader="none"/>
        </w:tabs>
        <w:spacing w:before="0" w:after="120"/>
        <w:ind w:hanging="360" w:start="1080" w:end="0"/>
        <w:jc w:val="both"/>
        <w:rPr/>
      </w:pPr>
      <w:r>
        <w:rPr/>
        <w:t>Highstar recognizes that ECT has been retained by Highstar only, that ECT’s services hereunder shall constitute services of an independent contractor, and that Highstar’s engagement of ECT is not deemed to be on behalf of, or is not intended to confer rights upon, any shareholder, owner, partner, employee or creditor of Highstar or any person not a party hereto as against ECT or any Indemnified Person.  Unless otherwise expressly agreed by ECT in writing, no one other than Highstar is authorized to rely upon this engagement of ECT or any statements or conduct of ECT.</w:t>
      </w:r>
    </w:p>
    <w:p>
      <w:pPr>
        <w:pStyle w:val="Normal"/>
        <w:numPr>
          <w:ilvl w:val="0"/>
          <w:numId w:val="14"/>
        </w:numPr>
        <w:tabs>
          <w:tab w:val="left" w:pos="720" w:leader="none"/>
          <w:tab w:val="left" w:pos="1080" w:leader="none"/>
        </w:tabs>
        <w:spacing w:before="0" w:after="120"/>
        <w:ind w:hanging="360" w:start="1080" w:end="0"/>
        <w:jc w:val="both"/>
        <w:rPr/>
      </w:pPr>
      <w:r>
        <w:rPr/>
        <w:t xml:space="preserve">Notwithstanding anything herein to the contrary, it is understood that ECT is not undertaking to provide any legal, accounting, or tax advice in connection with its engagement hereunder, and Highstar shall rely solely upon its own experts therefore; ECT may, however, at Highstar’s prior written request, assist Highstar in coordinating the obtaining of such advice. </w:t>
      </w:r>
    </w:p>
    <w:p>
      <w:pPr>
        <w:pStyle w:val="Normal"/>
        <w:numPr>
          <w:ilvl w:val="0"/>
          <w:numId w:val="11"/>
        </w:numPr>
        <w:tabs>
          <w:tab w:val="clear" w:pos="720"/>
          <w:tab w:val="left" w:pos="360" w:leader="none"/>
        </w:tabs>
        <w:rPr/>
      </w:pPr>
      <w:r>
        <w:rPr>
          <w:u w:val="single"/>
        </w:rPr>
        <w:t>Arbitration</w:t>
      </w:r>
      <w:r>
        <w:rPr/>
        <w:t xml:space="preserve">. </w:t>
      </w:r>
    </w:p>
    <w:p>
      <w:pPr>
        <w:pStyle w:val="Normal"/>
        <w:rPr/>
      </w:pPr>
      <w:r>
        <w:rPr/>
      </w:r>
    </w:p>
    <w:p>
      <w:pPr>
        <w:pStyle w:val="Normal"/>
        <w:ind w:hanging="360" w:start="1080" w:end="0"/>
        <w:jc w:val="both"/>
        <w:rPr/>
      </w:pPr>
      <w:r>
        <w:rPr/>
        <w:t>(a)</w:t>
        <w:tab/>
        <w:t>Any claim, counterclaim, demand, cause of action, dispute, and controversy arising out of or relating to this Letter or in any way relating to the subject matter of this Letter involving the Parties or their representatives (each a “</w:t>
      </w:r>
      <w:r>
        <w:rPr>
          <w:u w:val="single"/>
        </w:rPr>
        <w:t>Dispute</w:t>
      </w:r>
      <w:r>
        <w:rPr/>
        <w:t>”), even if such Disputes allegedly are extra-contractual in nature, sound in contract, tort or otherwise, or arise under state or federal law, shall be resolved by final and binding arbitration.  Arbitration shall be conducted in accordance with the commercial arbitration rules of the American Arbitration Association (the “</w:t>
      </w:r>
      <w:r>
        <w:rPr>
          <w:u w:val="single"/>
        </w:rPr>
        <w:t>AAA Rules</w:t>
      </w:r>
      <w:r>
        <w:rPr/>
        <w:t xml:space="preserve">”).  The validity, construction and interpretation of this agreement to arbitrate, and all other procedural aspects of the arbitration conducted pursuant hereto shall be decided by the arbitrators.  In deciding the substance of the Parties’ Dispute, the arbitrators shall refer to the governing law.  The arbitrators shall have no authority to make any award inconsistent with the limitations set forth herein, including any award for treble, consequential, exemplary, or punitive damages of any type under any circumstances whether or not such damages may be available under state or federal law, the Parties hereby waiving their right, if any, to recover any such damages or to appeal or object to the enforcement of any decision or award by the arbitrators.  Each Party agrees that any arbitration award against it may be enforced in any jurisdiction in which such Party holds or keeps assets and that judgment on any arbitration award may be entered by any court having jurisdiction.  The arbitration proceeding shall be conducted in New York County, New York.  </w:t>
      </w:r>
    </w:p>
    <w:p>
      <w:pPr>
        <w:pStyle w:val="Normal"/>
        <w:ind w:hanging="360" w:start="1080" w:end="0"/>
        <w:rPr/>
      </w:pPr>
      <w:r>
        <w:rPr/>
      </w:r>
    </w:p>
    <w:p>
      <w:pPr>
        <w:pStyle w:val="Normal"/>
        <w:ind w:hanging="360" w:start="1080" w:end="0"/>
        <w:jc w:val="both"/>
        <w:rPr/>
      </w:pPr>
      <w:r>
        <w:rPr/>
        <w:t>(b)</w:t>
        <w:tab/>
        <w:t>Within thirty (30) days of the notice of initiation of the arbitration procedure, each Party shall select one arbitrator.</w:t>
      </w:r>
      <w:r>
        <w:rPr>
          <w:b/>
          <w:u w:val="double"/>
        </w:rPr>
        <w:t xml:space="preserve"> If a Party fails to select its arbitrator within such period, its arbitrator shall be appointed pursuant to the AAA Rules.</w:t>
      </w:r>
      <w:r>
        <w:rPr/>
        <w:t xml:space="preserve">  The two arbitrators shall select a third arbitrator within fifteen (15) days after both have been appointed; provided that, if such two arbitrators fail to appoint a third arbitrator, such third arbitrator shall be appointed pursuant to the AAA Rules.  Each arbitrator shall be a Person who is generally experienced in transactions involving the purchase and sale of generation facilities or assets or companies owning such facilities or assets and is not an Affiliate of and who has not previously been employed by either Party and does not have a direct or indirect interest in either Party or in any person having an ownership interest in either Party or the subject matter of the arbitration. </w:t>
      </w:r>
    </w:p>
    <w:p>
      <w:pPr>
        <w:pStyle w:val="Normal"/>
        <w:ind w:hanging="360" w:start="1080" w:end="0"/>
        <w:rPr/>
      </w:pPr>
      <w:r>
        <w:rPr/>
      </w:r>
    </w:p>
    <w:p>
      <w:pPr>
        <w:pStyle w:val="Normal"/>
        <w:tabs>
          <w:tab w:val="left" w:pos="720" w:leader="none"/>
        </w:tabs>
        <w:spacing w:before="0" w:after="120"/>
        <w:ind w:hanging="360" w:start="1080" w:end="0"/>
        <w:jc w:val="both"/>
        <w:rPr/>
      </w:pPr>
      <w:r>
        <w:rPr/>
        <w:t>(c)</w:t>
        <w:tab/>
        <w:t>To the fullest extent permitted by law, any arbitration proceeding and the arbitrators’ award shall be maintained in confidence by the Parties.</w:t>
      </w:r>
    </w:p>
    <w:p>
      <w:pPr>
        <w:pStyle w:val="Normal"/>
        <w:tabs>
          <w:tab w:val="left" w:pos="720" w:leader="none"/>
        </w:tabs>
        <w:spacing w:before="0" w:after="120"/>
        <w:ind w:hanging="360" w:start="1080" w:end="0"/>
        <w:jc w:val="both"/>
        <w:rPr/>
      </w:pPr>
      <w:r>
        <w:rPr>
          <w:b/>
          <w:u w:val="double"/>
        </w:rPr>
        <w:t>(d)</w:t>
      </w:r>
      <w:r>
        <w:rPr/>
        <w:tab/>
      </w:r>
      <w:r>
        <w:rPr>
          <w:b/>
          <w:u w:val="double"/>
        </w:rPr>
        <w:t xml:space="preserve">Each Party hereby agrees that in any Dispute arising hereunder that has issues of law or fact common to a dispute under any other Transaction Document, such Party shall agree to have the Dispute settled pursuant to a common arbitration proceeding, and each Party and its Affiliates shall be deemed to be a single party for purposes of this agreement to arbitrate. </w:t>
      </w:r>
    </w:p>
    <w:p>
      <w:pPr>
        <w:pStyle w:val="Normal"/>
        <w:numPr>
          <w:ilvl w:val="0"/>
          <w:numId w:val="1"/>
        </w:numPr>
        <w:tabs>
          <w:tab w:val="left" w:pos="360" w:leader="none"/>
          <w:tab w:val="left" w:pos="720" w:leader="none"/>
        </w:tabs>
        <w:spacing w:before="0" w:after="120"/>
        <w:jc w:val="both"/>
        <w:rPr/>
      </w:pPr>
      <w:r>
        <w:rPr>
          <w:u w:val="single"/>
        </w:rPr>
        <w:t>Indemnification</w:t>
      </w:r>
      <w:r>
        <w:rPr/>
        <w:t xml:space="preserve">.  </w:t>
      </w:r>
    </w:p>
    <w:p>
      <w:pPr>
        <w:pStyle w:val="Normal"/>
        <w:numPr>
          <w:ilvl w:val="0"/>
          <w:numId w:val="3"/>
        </w:numPr>
        <w:tabs>
          <w:tab w:val="left" w:pos="720" w:leader="none"/>
          <w:tab w:val="left" w:pos="1080" w:leader="none"/>
        </w:tabs>
        <w:spacing w:before="0" w:after="120"/>
        <w:ind w:hanging="360" w:start="1080" w:end="0"/>
        <w:jc w:val="both"/>
        <w:rPr/>
      </w:pPr>
      <w:r>
        <w:rPr/>
        <w:t>Subject to clause (b) below, Highstar will indemnify and hold harmless ECT and its affiliates, and their respective officers, directors, advisors, representatives, agents, employees, and each other person controlling ECT or any of its affiliates within the meaning of either Section 15 of the Securities Act of 1933, as amended, or Section 20 of the Securities Exchange Act of 1934, as amended (each such party, including ECT, an “</w:t>
      </w:r>
      <w:r>
        <w:rPr>
          <w:u w:val="single"/>
        </w:rPr>
        <w:t>Indemnified Person</w:t>
      </w:r>
      <w:r>
        <w:rPr/>
        <w:t>”) from and against any and all losses, claims, damages, expenses (including without limitation reasonable fees and disbursements of legal counsel) and liabilities (collectively, “</w:t>
      </w:r>
      <w:r>
        <w:rPr>
          <w:u w:val="single"/>
        </w:rPr>
        <w:t>Damages</w:t>
      </w:r>
      <w:r>
        <w:rPr/>
        <w:t xml:space="preserve">”), arising out of the performance by ECT of services hereunder, except to the extent such Damages have resulted from the gross negligence or willful misconduct of an Indemnified Person. </w:t>
      </w:r>
    </w:p>
    <w:p>
      <w:pPr>
        <w:pStyle w:val="Normal"/>
        <w:numPr>
          <w:ilvl w:val="0"/>
          <w:numId w:val="3"/>
        </w:numPr>
        <w:tabs>
          <w:tab w:val="left" w:pos="720" w:leader="none"/>
          <w:tab w:val="left" w:pos="1080" w:leader="none"/>
        </w:tabs>
        <w:spacing w:before="0" w:after="120"/>
        <w:ind w:hanging="360" w:start="1080" w:end="0"/>
        <w:jc w:val="both"/>
        <w:rPr/>
      </w:pPr>
      <w:r>
        <w:rPr/>
        <w:t xml:space="preserve">If a claim by any person (including any government authority) is made against an Indemnified Person, and if such Indemnified Person intends to seek indemnity with respect thereto under Paragraph </w:t>
      </w:r>
      <w:r>
        <w:rPr>
          <w:strike/>
        </w:rPr>
        <w:t>8(a)</w:t>
      </w:r>
      <w:r>
        <w:rPr/>
        <w:t xml:space="preserve"> </w:t>
      </w:r>
      <w:r>
        <w:rPr>
          <w:b/>
          <w:u w:val="double"/>
        </w:rPr>
        <w:t>7(a)</w:t>
      </w:r>
      <w:r>
        <w:rPr/>
        <w:t xml:space="preserve">, such Indemnified Person shall promptly furnish written notice to Highstar of such claim.  The failure of an Indemnified Person to deliver prompt written notice of a claim shall not affect the indemnity obligations of Highstar hereunder except to the extent </w:t>
      </w:r>
      <w:r>
        <w:rPr>
          <w:strike/>
        </w:rPr>
        <w:t>such Party</w:t>
      </w:r>
      <w:r>
        <w:rPr/>
        <w:t xml:space="preserve"> </w:t>
      </w:r>
      <w:r>
        <w:rPr>
          <w:b/>
          <w:u w:val="double"/>
        </w:rPr>
        <w:t>Highstar</w:t>
      </w:r>
      <w:r>
        <w:rPr/>
        <w:t xml:space="preserve"> was substantially disadvantaged by such delay in delivering notice of such claim.  Highstar shall have thirty (30) days after receipt of such notice to undertake, conduct, and control (through counsel of its own choosing and at its own expense) the settlement or defense thereof, and the Indemnified Person shall cooperate with it in connection therewith.  Highstar shall permit the Indemnified Person to participate in such settlement or defense through counsel chosen by such Indemnified Person (but the fees and expenses of such counsel shall be borne by such Indemnified Person).  So long as Highstar, at its cost and expense, (i) has undertaken the defense of, and assumed full responsibility for all liabilities with respect to, such claim, (ii) is reasonably contesting such claim in good faith, by appropriate proceedings, and (iii) has taken such action (including the posting of a bond, deposit, or other security) as may be necessary to prevent any action to foreclose a lien against or attachment of the property of the Indemnified Person </w:t>
      </w:r>
      <w:r>
        <w:rPr>
          <w:b/>
          <w:u w:val="double"/>
        </w:rPr>
        <w:t>and its Affiliates</w:t>
      </w:r>
      <w:r>
        <w:rPr/>
        <w:t xml:space="preserve"> for payment of such claim, the Indemnified Person shall not pay or settle any such claim.  Notwithstanding compliance by Highstar with the preceding sentence, the  Indemnified Person shall have the right to pay or settle any such claim, but in such event it shall waive any right to indemnity by Highstar for such claim.  If within thirty (30) days after the receipt of the Indemnified Person’s notice of a claim of indemnity hereunder, Highstar does not notify the Indemnified Person that it elects (at Highstar’s cost and expense) to undertake the defense thereof and </w:t>
      </w:r>
      <w:r>
        <w:rPr>
          <w:strike/>
        </w:rPr>
        <w:t>assume</w:t>
      </w:r>
      <w:r>
        <w:rPr/>
        <w:t xml:space="preserve"> </w:t>
      </w:r>
      <w:r>
        <w:rPr>
          <w:b/>
          <w:u w:val="double"/>
        </w:rPr>
        <w:t>assumes</w:t>
      </w:r>
      <w:r>
        <w:rPr/>
        <w:t xml:space="preserve"> full responsibility for all liabilities with respect thereto, or gives such notice and thereafter fails to contest such claim in good faith or to prevent action to foreclose a lien against or attachment of the </w:t>
      </w:r>
      <w:r>
        <w:rPr>
          <w:b/>
          <w:u w:val="double"/>
        </w:rPr>
        <w:t>property of the</w:t>
      </w:r>
      <w:r>
        <w:rPr/>
        <w:t xml:space="preserve"> Indemnified </w:t>
      </w:r>
      <w:r>
        <w:rPr>
          <w:strike/>
        </w:rPr>
        <w:t>Person’s property</w:t>
      </w:r>
      <w:r>
        <w:rPr/>
        <w:t xml:space="preserve"> </w:t>
      </w:r>
      <w:r>
        <w:rPr>
          <w:b/>
          <w:u w:val="double"/>
        </w:rPr>
        <w:t>Person or its Affiliates</w:t>
      </w:r>
      <w:r>
        <w:rPr/>
        <w:t xml:space="preserve"> as contemplated above, the Indemnified Person shall have the right to contest, settle, or compromise such claim and the Indemnified Person shall not thereby waive any right to indemnity for such claim under this Letter.</w:t>
      </w:r>
    </w:p>
    <w:p>
      <w:pPr>
        <w:pStyle w:val="Normal"/>
        <w:widowControl/>
        <w:numPr>
          <w:ilvl w:val="0"/>
          <w:numId w:val="2"/>
        </w:numPr>
        <w:tabs>
          <w:tab w:val="left" w:pos="360" w:leader="none"/>
          <w:tab w:val="left" w:pos="720" w:leader="none"/>
        </w:tabs>
        <w:spacing w:before="0" w:after="120"/>
        <w:jc w:val="both"/>
        <w:rPr/>
      </w:pPr>
      <w:r>
        <w:rPr>
          <w:u w:val="single"/>
        </w:rPr>
        <w:t>Default; Termination</w:t>
      </w:r>
      <w:r>
        <w:rPr/>
        <w:t xml:space="preserve">. </w:t>
      </w:r>
    </w:p>
    <w:p>
      <w:pPr>
        <w:pStyle w:val="Normal"/>
        <w:widowControl/>
        <w:spacing w:before="0" w:after="120"/>
        <w:ind w:firstLine="360" w:end="0"/>
        <w:jc w:val="both"/>
        <w:rPr/>
      </w:pPr>
      <w:r>
        <w:rPr>
          <w:b/>
          <w:u w:val="double"/>
        </w:rPr>
        <w:t>(a)</w:t>
      </w:r>
      <w:r>
        <w:rPr/>
        <w:tab/>
        <w:t xml:space="preserve">Each of the following shall constitute an </w:t>
      </w:r>
      <w:r>
        <w:rPr>
          <w:strike/>
        </w:rPr>
        <w:t>Event</w:t>
      </w:r>
      <w:r>
        <w:rPr>
          <w:b/>
          <w:u w:val="double"/>
        </w:rPr>
        <w:t>“Event</w:t>
      </w:r>
      <w:r>
        <w:rPr/>
        <w:t xml:space="preserve"> of </w:t>
      </w:r>
      <w:r>
        <w:rPr>
          <w:strike/>
        </w:rPr>
        <w:t>Default</w:t>
      </w:r>
      <w:r>
        <w:rPr/>
        <w:t xml:space="preserve"> </w:t>
      </w:r>
      <w:r>
        <w:rPr>
          <w:b/>
          <w:u w:val="double"/>
        </w:rPr>
        <w:t>Default”</w:t>
      </w:r>
      <w:r>
        <w:rPr/>
        <w:t xml:space="preserve"> under this Letter:</w:t>
      </w:r>
    </w:p>
    <w:p>
      <w:pPr>
        <w:pStyle w:val="BodyText"/>
        <w:widowControl/>
        <w:numPr>
          <w:ilvl w:val="0"/>
          <w:numId w:val="12"/>
        </w:numPr>
        <w:tabs>
          <w:tab w:val="clear" w:pos="720"/>
          <w:tab w:val="left" w:pos="1440" w:leader="none"/>
          <w:tab w:val="left" w:pos="4230" w:leader="none"/>
        </w:tabs>
        <w:rPr/>
      </w:pPr>
      <w:r>
        <w:rPr/>
        <w:t xml:space="preserve">The filing by either Party of a bankruptcy petition or acquiescence by either Party in the filing of a bankruptcy petition by any other person against </w:t>
      </w:r>
      <w:r>
        <w:rPr>
          <w:strike/>
        </w:rPr>
        <w:t>either</w:t>
      </w:r>
      <w:r>
        <w:rPr/>
        <w:t xml:space="preserve"> </w:t>
      </w:r>
      <w:r>
        <w:rPr>
          <w:b/>
          <w:u w:val="double"/>
        </w:rPr>
        <w:t>such</w:t>
      </w:r>
      <w:r>
        <w:rPr/>
        <w:t xml:space="preserve"> Party;</w:t>
      </w:r>
    </w:p>
    <w:p>
      <w:pPr>
        <w:pStyle w:val="BodyText"/>
        <w:widowControl/>
        <w:numPr>
          <w:ilvl w:val="0"/>
          <w:numId w:val="12"/>
        </w:numPr>
        <w:tabs>
          <w:tab w:val="clear" w:pos="720"/>
          <w:tab w:val="left" w:pos="1440" w:leader="none"/>
          <w:tab w:val="left" w:pos="4230" w:leader="none"/>
        </w:tabs>
        <w:rPr/>
      </w:pPr>
      <w:r>
        <w:rPr/>
        <w:t>The filing of an involuntary bankruptcy petition against either Party;</w:t>
      </w:r>
    </w:p>
    <w:p>
      <w:pPr>
        <w:pStyle w:val="BodyText"/>
        <w:widowControl/>
        <w:numPr>
          <w:ilvl w:val="0"/>
          <w:numId w:val="12"/>
        </w:numPr>
        <w:tabs>
          <w:tab w:val="clear" w:pos="720"/>
          <w:tab w:val="left" w:pos="1440" w:leader="none"/>
          <w:tab w:val="left" w:pos="4230" w:leader="none"/>
        </w:tabs>
        <w:rPr/>
      </w:pPr>
      <w:r>
        <w:rPr/>
        <w:t>The making by either Party of a general assignment for the benefit of its creditors (other than a collateral assignment for financing purposes);</w:t>
      </w:r>
    </w:p>
    <w:p>
      <w:pPr>
        <w:pStyle w:val="BodyText"/>
        <w:widowControl/>
        <w:numPr>
          <w:ilvl w:val="0"/>
          <w:numId w:val="12"/>
        </w:numPr>
        <w:tabs>
          <w:tab w:val="clear" w:pos="720"/>
          <w:tab w:val="left" w:pos="1440" w:leader="none"/>
          <w:tab w:val="left" w:pos="4230" w:leader="none"/>
        </w:tabs>
        <w:rPr/>
      </w:pPr>
      <w:r>
        <w:rPr/>
        <w:t>The dissolution or liquidation of either Party or the passage of a resolution requiring the dissolution or liquidation of either Party in each case involving a winding up of the business of such Party; provided, however, that any such dissolution or liquidation pursuant to a consolidation, acquisition, amalgamation or merger involving either Party consented to by the other Party shall not be deemed an Event of Default hereunder;</w:t>
      </w:r>
    </w:p>
    <w:p>
      <w:pPr>
        <w:pStyle w:val="BodyText"/>
        <w:widowControl/>
        <w:numPr>
          <w:ilvl w:val="0"/>
          <w:numId w:val="12"/>
        </w:numPr>
        <w:tabs>
          <w:tab w:val="clear" w:pos="720"/>
          <w:tab w:val="left" w:pos="1440" w:leader="none"/>
          <w:tab w:val="left" w:pos="4230" w:leader="none"/>
        </w:tabs>
        <w:rPr/>
      </w:pPr>
      <w:r>
        <w:rPr/>
        <w:t xml:space="preserve">The sale or transfer of all or substantially all of the assets of either Party, the merger of either Party with any other person or the consolidation of either Party with any other person </w:t>
      </w:r>
      <w:r>
        <w:rPr>
          <w:strike/>
        </w:rPr>
        <w:t>(i)</w:t>
      </w:r>
      <w:r>
        <w:rPr>
          <w:b/>
          <w:u w:val="double"/>
        </w:rPr>
        <w:t>(A)</w:t>
      </w:r>
      <w:r>
        <w:rPr/>
        <w:t xml:space="preserve"> which causes a material adverse change in the financial condition of such Party or </w:t>
      </w:r>
      <w:r>
        <w:rPr>
          <w:strike/>
        </w:rPr>
        <w:t>(ii)</w:t>
      </w:r>
      <w:r>
        <w:rPr>
          <w:b/>
          <w:u w:val="double"/>
        </w:rPr>
        <w:t>(B)</w:t>
      </w:r>
      <w:r>
        <w:rPr/>
        <w:t xml:space="preserve"> pursuant to which the entity existing after the transfer, merger or consolidation does not assume the obligations of such Party by operation of law or otherwise;</w:t>
      </w:r>
    </w:p>
    <w:p>
      <w:pPr>
        <w:pStyle w:val="BodyText"/>
        <w:widowControl/>
        <w:numPr>
          <w:ilvl w:val="0"/>
          <w:numId w:val="12"/>
        </w:numPr>
        <w:tabs>
          <w:tab w:val="clear" w:pos="720"/>
          <w:tab w:val="left" w:pos="1440" w:leader="none"/>
          <w:tab w:val="left" w:pos="4230" w:leader="none"/>
        </w:tabs>
        <w:rPr/>
      </w:pPr>
      <w:r>
        <w:rPr/>
        <w:t>The failure by a Party to pay any amounts hereunder to the other Party, which failure continues for a period of ten (10) days after receipt of written notice of such nonpayment;</w:t>
      </w:r>
      <w:r>
        <w:rPr>
          <w:strike/>
        </w:rPr>
        <w:t xml:space="preserve"> or</w:t>
      </w:r>
    </w:p>
    <w:p>
      <w:pPr>
        <w:pStyle w:val="BodyText"/>
        <w:widowControl/>
        <w:numPr>
          <w:ilvl w:val="0"/>
          <w:numId w:val="12"/>
        </w:numPr>
        <w:tabs>
          <w:tab w:val="clear" w:pos="720"/>
          <w:tab w:val="left" w:pos="1440" w:leader="none"/>
          <w:tab w:val="left" w:pos="4230" w:leader="none"/>
        </w:tabs>
        <w:rPr>
          <w:b/>
          <w:u w:val="double"/>
        </w:rPr>
      </w:pPr>
      <w:r>
        <w:rPr>
          <w:b/>
          <w:u w:val="double"/>
        </w:rPr>
        <w:t xml:space="preserve">As an Event of Default with respect to ECT only, any “Event of Default” (as defined in the Financial Put Option Agreement) wherein ENA is the “Defaulting Party” under Section 5(a) of the ISDA Master Agreement (1992 Multi-currency </w:t>
      </w:r>
      <w:r>
        <w:rPr/>
        <w:t xml:space="preserve">– </w:t>
      </w:r>
      <w:r>
        <w:rPr>
          <w:b/>
          <w:u w:val="double"/>
        </w:rPr>
        <w:t>Cross Border Form) as supplemented by any schedule thereto forming part of the Financial Put Option Agreement;</w:t>
      </w:r>
    </w:p>
    <w:p>
      <w:pPr>
        <w:pStyle w:val="BodyText"/>
        <w:widowControl/>
        <w:numPr>
          <w:ilvl w:val="0"/>
          <w:numId w:val="12"/>
        </w:numPr>
        <w:tabs>
          <w:tab w:val="clear" w:pos="720"/>
          <w:tab w:val="left" w:pos="1440" w:leader="none"/>
          <w:tab w:val="left" w:pos="4230" w:leader="none"/>
        </w:tabs>
        <w:rPr>
          <w:b/>
          <w:u w:val="double"/>
        </w:rPr>
      </w:pPr>
      <w:r>
        <w:rPr>
          <w:b/>
          <w:u w:val="double"/>
        </w:rPr>
        <w:t xml:space="preserve">As an Event of Default with respect to ECT only, any Event of Default specified in clauses (i) through (v) above, </w:t>
      </w:r>
      <w:r>
        <w:rPr>
          <w:b/>
          <w:i/>
          <w:u w:val="double"/>
        </w:rPr>
        <w:t>mutatis mutandis</w:t>
      </w:r>
      <w:r>
        <w:rPr>
          <w:b/>
          <w:u w:val="double"/>
        </w:rPr>
        <w:t>, as if Contractor were a Party hereunder in lieu of ECT;</w:t>
      </w:r>
    </w:p>
    <w:p>
      <w:pPr>
        <w:pStyle w:val="BodyText"/>
        <w:widowControl/>
        <w:numPr>
          <w:ilvl w:val="0"/>
          <w:numId w:val="12"/>
        </w:numPr>
        <w:tabs>
          <w:tab w:val="clear" w:pos="720"/>
          <w:tab w:val="left" w:pos="1440" w:leader="none"/>
          <w:tab w:val="left" w:pos="4230" w:leader="none"/>
        </w:tabs>
        <w:rPr/>
      </w:pPr>
      <w:r>
        <w:rPr>
          <w:b/>
          <w:u w:val="double"/>
        </w:rPr>
        <w:t xml:space="preserve">As an Event of Default with respect to ECT only, any Event of Default specified in clauses (i) through (v) above, </w:t>
      </w:r>
      <w:r>
        <w:rPr>
          <w:b/>
          <w:i/>
          <w:u w:val="double"/>
        </w:rPr>
        <w:t>mutatis mutandis</w:t>
      </w:r>
      <w:r>
        <w:rPr>
          <w:b/>
          <w:u w:val="double"/>
        </w:rPr>
        <w:t>, as if ENA were a Party hereunder in lieu of ECT; or</w:t>
      </w:r>
    </w:p>
    <w:p>
      <w:pPr>
        <w:pStyle w:val="BodyText"/>
        <w:widowControl/>
        <w:numPr>
          <w:ilvl w:val="0"/>
          <w:numId w:val="12"/>
        </w:numPr>
        <w:tabs>
          <w:tab w:val="clear" w:pos="720"/>
          <w:tab w:val="left" w:pos="1440" w:leader="none"/>
          <w:tab w:val="left" w:pos="4230" w:leader="none"/>
        </w:tabs>
        <w:rPr/>
      </w:pPr>
      <w:r>
        <w:rPr/>
        <w:t xml:space="preserve">A material failure by either Party to perform any of its other obligations hereunder, unless </w:t>
      </w:r>
      <w:r>
        <w:rPr>
          <w:b/>
          <w:u w:val="double"/>
        </w:rPr>
        <w:t>(if such failure is curable)</w:t>
      </w:r>
      <w:r>
        <w:rPr/>
        <w:t xml:space="preserve"> such Party has cured such failure within thirty (30) days of such Party's receipt of written notice thereof from the other Party demanding such cure, or such additional period as may be reasonably required to cure such failure as long as the non-performing Party has promptly initiated and is diligently pursuing such cure </w:t>
      </w:r>
      <w:r>
        <w:rPr>
          <w:b/>
          <w:u w:val="double"/>
        </w:rPr>
        <w:t>(but in no event in excess of ninety (90) days after such receipt of notice)</w:t>
      </w:r>
      <w:r>
        <w:rPr/>
        <w:t>.</w:t>
      </w:r>
    </w:p>
    <w:p>
      <w:pPr>
        <w:pStyle w:val="Normal"/>
        <w:widowControl/>
        <w:numPr>
          <w:ilvl w:val="0"/>
          <w:numId w:val="7"/>
        </w:numPr>
        <w:tabs>
          <w:tab w:val="left" w:pos="720" w:leader="none"/>
        </w:tabs>
        <w:spacing w:before="0" w:after="120"/>
        <w:ind w:hanging="360" w:start="720" w:end="0"/>
        <w:jc w:val="both"/>
        <w:rPr/>
      </w:pPr>
      <w:r>
        <w:rPr/>
        <w:t>Upon the occurrence and during the continuance of an Event of Default by Highstar, ECT shall have the right to: (i) terminate this Letter</w:t>
      </w:r>
      <w:r>
        <w:rPr>
          <w:b/>
          <w:u w:val="double"/>
        </w:rPr>
        <w:t>;</w:t>
      </w:r>
      <w:r>
        <w:rPr/>
        <w:t xml:space="preserve"> or </w:t>
      </w:r>
      <w:r>
        <w:rPr>
          <w:strike/>
        </w:rPr>
        <w:t>(iii)</w:t>
      </w:r>
      <w:r>
        <w:rPr>
          <w:b/>
          <w:u w:val="double"/>
        </w:rPr>
        <w:t>(ii)</w:t>
      </w:r>
      <w:r>
        <w:rPr/>
        <w:t xml:space="preserve"> pursue any and all other remedies available at law or in equity.  In addition to ECT’s right to terminate pursuant to the immediately preceding sentence, ECT will have the option to terminate this Letter in the event Highstar is no longer obligated to pay the Contingent Consideration pursuant to </w:t>
      </w:r>
      <w:r>
        <w:rPr>
          <w:strike/>
        </w:rPr>
        <w:t>the SPA</w:t>
      </w:r>
      <w:r>
        <w:rPr>
          <w:b/>
          <w:u w:val="double"/>
        </w:rPr>
        <w:t>, and in accordance with the provisions of, the Securities Purchase Agreement</w:t>
      </w:r>
      <w:r>
        <w:rPr/>
        <w:t>. [</w:t>
      </w:r>
      <w:r>
        <w:rPr>
          <w:b/>
        </w:rPr>
        <w:t>Conform to SPA language</w:t>
      </w:r>
      <w:r>
        <w:rPr/>
        <w:t>]</w:t>
      </w:r>
    </w:p>
    <w:p>
      <w:pPr>
        <w:pStyle w:val="Normal"/>
        <w:widowControl/>
        <w:numPr>
          <w:ilvl w:val="0"/>
          <w:numId w:val="7"/>
        </w:numPr>
        <w:tabs>
          <w:tab w:val="left" w:pos="720" w:leader="none"/>
        </w:tabs>
        <w:spacing w:before="0" w:after="120"/>
        <w:ind w:hanging="360" w:start="720" w:end="0"/>
        <w:jc w:val="both"/>
        <w:rPr/>
      </w:pPr>
      <w:r>
        <w:rPr/>
        <w:t xml:space="preserve">Upon the occurrence and during the continuance of an Event of Default by ECT, </w:t>
      </w:r>
      <w:r>
        <w:rPr>
          <w:strike/>
        </w:rPr>
        <w:t>Highstar shall deliver notice of such Event of Default, and if neither ECT or any other Affiliate of ECT promptly commences and diligently pursues to cure such Event of Default within a reasonable time thereafter, then</w:t>
      </w:r>
      <w:r>
        <w:rPr/>
        <w:t xml:space="preserve"> Highstar shall have the right</w:t>
      </w:r>
      <w:r>
        <w:rPr>
          <w:strike/>
        </w:rPr>
        <w:t xml:space="preserve">, in its sole and absolute discretion but as its sole and exclusive remedy, to </w:t>
      </w:r>
      <w:r>
        <w:rPr/>
        <w:t xml:space="preserve"> </w:t>
      </w:r>
      <w:r>
        <w:rPr>
          <w:b/>
          <w:u w:val="double"/>
        </w:rPr>
        <w:t>to: (i)</w:t>
      </w:r>
      <w:r>
        <w:rPr/>
        <w:t xml:space="preserve"> terminate this Letter</w:t>
      </w:r>
      <w:r>
        <w:rPr>
          <w:b/>
          <w:u w:val="double"/>
        </w:rPr>
        <w:t>; or (ii) pursue any and all other remedies available at law or in equity</w:t>
      </w:r>
      <w:r>
        <w:rPr/>
        <w:t xml:space="preserve">. </w:t>
      </w:r>
    </w:p>
    <w:p>
      <w:pPr>
        <w:pStyle w:val="Normal"/>
        <w:widowControl/>
        <w:numPr>
          <w:ilvl w:val="0"/>
          <w:numId w:val="7"/>
        </w:numPr>
        <w:tabs>
          <w:tab w:val="left" w:pos="720" w:leader="none"/>
        </w:tabs>
        <w:spacing w:before="0" w:after="120"/>
        <w:ind w:hanging="360" w:start="720" w:end="0"/>
        <w:jc w:val="both"/>
        <w:rPr/>
      </w:pPr>
      <w:r>
        <w:rPr/>
        <w:t>The election of any one or more of such remedies by either Party shall not constitute a waiver by such Party of the right to pursue any other available remedies. Except as otherwise set forth in this Letter, expiration or termination of this Letter shall not affect any rights or obligations which have arisen or accrued before such expiration or termination, including any in respect of antecedent breach.</w:t>
      </w:r>
    </w:p>
    <w:p>
      <w:pPr>
        <w:pStyle w:val="Normal"/>
        <w:widowControl/>
        <w:numPr>
          <w:ilvl w:val="0"/>
          <w:numId w:val="4"/>
        </w:numPr>
        <w:tabs>
          <w:tab w:val="left" w:pos="360" w:leader="none"/>
          <w:tab w:val="left" w:pos="720" w:leader="none"/>
        </w:tabs>
        <w:spacing w:before="0" w:after="120"/>
        <w:jc w:val="both"/>
        <w:rPr/>
      </w:pPr>
      <w:r>
        <w:rPr>
          <w:u w:val="single"/>
        </w:rPr>
        <w:t>Waiver of Consequential Damages</w:t>
      </w:r>
      <w:r>
        <w:rPr/>
        <w:t xml:space="preserve">.  </w:t>
      </w:r>
      <w:r>
        <w:rPr>
          <w:b/>
        </w:rPr>
        <w:t xml:space="preserve">IN NO EVENT SHALL EITHER PARTY BE LIABLE TO THE OTHER PARTY HERETO FOR ANY LOST OR PROSPECTIVE PROFITS OR ANY OTHER SPECIAL, PUNITIVE, EXEMPLARY, CONSEQUENTIAL, INCIDENTAL OR INDIRECT LOSSES OR DAMAGES (IN TORT, CONTRACT OR OTHERWISE) UNDER OR IN RESPECT OF THIS LETTER </w:t>
      </w:r>
      <w:r>
        <w:rPr>
          <w:b/>
          <w:strike/>
        </w:rPr>
        <w:t>OR FOR</w:t>
      </w:r>
      <w:r>
        <w:rPr>
          <w:b/>
        </w:rPr>
        <w:t xml:space="preserve"> </w:t>
      </w:r>
      <w:r>
        <w:rPr>
          <w:b/>
          <w:u w:val="double"/>
        </w:rPr>
        <w:t>DUE TO</w:t>
      </w:r>
      <w:r>
        <w:rPr>
          <w:b/>
        </w:rPr>
        <w:t xml:space="preserve"> ANY FAILURE OF PERFORMANCE RELATED HERETO HOWSOEVER CAUSED, WHETHER OR NOT ARISING FROM EITHER PARTY’S SOLE, JOINT OR CONCURRENT NEGLIGENCE.</w:t>
      </w:r>
    </w:p>
    <w:p>
      <w:pPr>
        <w:pStyle w:val="Normal"/>
        <w:widowControl/>
        <w:numPr>
          <w:ilvl w:val="0"/>
          <w:numId w:val="4"/>
        </w:numPr>
        <w:tabs>
          <w:tab w:val="left" w:pos="360" w:leader="none"/>
          <w:tab w:val="left" w:pos="720" w:leader="none"/>
        </w:tabs>
        <w:spacing w:before="0" w:after="120"/>
        <w:jc w:val="both"/>
        <w:rPr/>
      </w:pPr>
      <w:r>
        <w:rPr>
          <w:u w:val="single"/>
        </w:rPr>
        <w:t>Entire Agreement; Governing Law</w:t>
      </w:r>
      <w:r>
        <w:rPr/>
        <w:t xml:space="preserve">. This Letter </w:t>
      </w:r>
      <w:r>
        <w:rPr>
          <w:strike/>
        </w:rPr>
        <w:t>and the Exhibit hereto contain</w:t>
      </w:r>
      <w:r>
        <w:rPr/>
        <w:t xml:space="preserve"> </w:t>
      </w:r>
      <w:r>
        <w:rPr>
          <w:b/>
          <w:u w:val="double"/>
        </w:rPr>
        <w:t>contains</w:t>
      </w:r>
      <w:r>
        <w:rPr/>
        <w:t xml:space="preserve"> the entire agreement between the Parties with respect to the subject matter hereof and there are no </w:t>
      </w:r>
      <w:r>
        <w:rPr>
          <w:b/>
          <w:u w:val="double"/>
        </w:rPr>
        <w:t>other</w:t>
      </w:r>
      <w:r>
        <w:rPr/>
        <w:t xml:space="preserve"> agreements or understandings between the Parties. This Letter shall be governed by the laws of the State of New York without regard to conflicts of laws principles other than Section 5-1401 of the New York General Obligations Law.</w:t>
      </w:r>
    </w:p>
    <w:p>
      <w:pPr>
        <w:pStyle w:val="BodyText"/>
        <w:numPr>
          <w:ilvl w:val="0"/>
          <w:numId w:val="4"/>
        </w:numPr>
        <w:tabs>
          <w:tab w:val="clear" w:pos="720"/>
          <w:tab w:val="left" w:pos="360" w:leader="none"/>
        </w:tabs>
        <w:rPr/>
      </w:pPr>
      <w:r>
        <w:rPr>
          <w:u w:val="single"/>
        </w:rPr>
        <w:t>Notices</w:t>
      </w:r>
      <w:r>
        <w:rPr/>
        <w:t>.  All notices hereunder shall be sufficiently given for all purposes hereunder if in writing and delivered personally, sent by documented overnight delivery service or, to the extent receipt is confirmed, by United States Mail, or telecopy to the appropriate address or number as set forth below.  Notices shall be addressed as follows:</w:t>
      </w:r>
    </w:p>
    <w:p>
      <w:pPr>
        <w:pStyle w:val="Normal"/>
        <w:spacing w:before="0" w:after="120"/>
        <w:ind w:firstLine="1440" w:end="0"/>
        <w:rPr/>
      </w:pPr>
      <w:r>
        <w:rPr>
          <w:u w:val="single"/>
        </w:rPr>
        <w:t>If to ECT</w:t>
      </w:r>
      <w:r>
        <w:rPr/>
        <w:t>:</w:t>
      </w:r>
    </w:p>
    <w:p>
      <w:pPr>
        <w:pStyle w:val="Normal"/>
        <w:ind w:firstLine="2160" w:end="0"/>
        <w:rPr/>
      </w:pPr>
      <w:r>
        <w:rPr/>
      </w:r>
    </w:p>
    <w:p>
      <w:pPr>
        <w:pStyle w:val="Normal"/>
        <w:ind w:firstLine="2160" w:end="0"/>
        <w:rPr/>
      </w:pPr>
      <w:r>
        <w:rPr/>
        <w:t>ECT Securities Limited Partnership</w:t>
      </w:r>
    </w:p>
    <w:p>
      <w:pPr>
        <w:pStyle w:val="Normal"/>
        <w:ind w:firstLine="2160" w:end="0"/>
        <w:rPr/>
      </w:pPr>
      <w:r>
        <w:rPr/>
        <w:t>1400 Smith Street</w:t>
      </w:r>
    </w:p>
    <w:p>
      <w:pPr>
        <w:pStyle w:val="Normal"/>
        <w:ind w:firstLine="2160" w:end="0"/>
        <w:rPr/>
      </w:pPr>
      <w:r>
        <w:rPr/>
        <w:t>Houston, Texas  77002</w:t>
      </w:r>
    </w:p>
    <w:p>
      <w:pPr>
        <w:pStyle w:val="Normal"/>
        <w:ind w:firstLine="2160" w:end="0"/>
        <w:rPr/>
      </w:pPr>
      <w:r>
        <w:rPr/>
        <w:t xml:space="preserve">Attention:  </w:t>
      </w:r>
      <w:r>
        <w:rPr>
          <w:u w:val="single"/>
        </w:rPr>
        <w:tab/>
        <w:tab/>
        <w:tab/>
      </w:r>
    </w:p>
    <w:p>
      <w:pPr>
        <w:pStyle w:val="Normal"/>
        <w:ind w:firstLine="2160" w:end="0"/>
        <w:rPr/>
      </w:pPr>
      <w:r>
        <w:rPr/>
        <w:t xml:space="preserve">Telecopy No.:  (713) </w:t>
      </w:r>
      <w:r>
        <w:rPr>
          <w:u w:val="single"/>
        </w:rPr>
        <w:tab/>
        <w:tab/>
      </w:r>
    </w:p>
    <w:p>
      <w:pPr>
        <w:pStyle w:val="Header"/>
        <w:tabs>
          <w:tab w:val="clear" w:pos="4320"/>
          <w:tab w:val="clear" w:pos="8640"/>
        </w:tabs>
        <w:rPr/>
      </w:pPr>
      <w:r>
        <w:rPr/>
      </w:r>
    </w:p>
    <w:p>
      <w:pPr>
        <w:pStyle w:val="Normal"/>
        <w:ind w:firstLine="720" w:start="720" w:end="0"/>
        <w:rPr/>
      </w:pPr>
      <w:r>
        <w:rPr>
          <w:u w:val="single"/>
        </w:rPr>
        <w:t>With a copy to</w:t>
      </w:r>
      <w:r>
        <w:rPr/>
        <w:t>:</w:t>
      </w:r>
    </w:p>
    <w:p>
      <w:pPr>
        <w:pStyle w:val="Normal"/>
        <w:ind w:firstLine="2160" w:end="0"/>
        <w:rPr/>
      </w:pPr>
      <w:r>
        <w:rPr/>
      </w:r>
    </w:p>
    <w:p>
      <w:pPr>
        <w:pStyle w:val="Normal"/>
        <w:ind w:firstLine="2160" w:end="0"/>
        <w:rPr/>
      </w:pPr>
      <w:r>
        <w:rPr/>
        <w:t>Enron North America Corp.</w:t>
      </w:r>
    </w:p>
    <w:p>
      <w:pPr>
        <w:pStyle w:val="Normal"/>
        <w:ind w:firstLine="2160" w:end="0"/>
        <w:rPr/>
      </w:pPr>
      <w:r>
        <w:rPr/>
        <w:t>1400 Smith Street</w:t>
      </w:r>
    </w:p>
    <w:p>
      <w:pPr>
        <w:pStyle w:val="Normal"/>
        <w:ind w:firstLine="2160" w:end="0"/>
        <w:rPr/>
      </w:pPr>
      <w:r>
        <w:rPr/>
        <w:t>Houston, Texas  77002</w:t>
      </w:r>
    </w:p>
    <w:p>
      <w:pPr>
        <w:pStyle w:val="Normal"/>
        <w:ind w:firstLine="2160" w:end="0"/>
        <w:rPr/>
      </w:pPr>
      <w:r>
        <w:rPr/>
        <w:t>Attention:  Steve Van Hooser</w:t>
      </w:r>
    </w:p>
    <w:p>
      <w:pPr>
        <w:pStyle w:val="Normal"/>
        <w:ind w:firstLine="2160" w:end="0"/>
        <w:rPr/>
      </w:pPr>
      <w:r>
        <w:rPr/>
        <w:t>Telecopy No.:  (713)  646-3490</w:t>
      </w:r>
    </w:p>
    <w:p>
      <w:pPr>
        <w:pStyle w:val="Normal"/>
        <w:ind w:firstLine="2160" w:end="0"/>
        <w:rPr/>
      </w:pPr>
      <w:r>
        <w:rPr/>
      </w:r>
    </w:p>
    <w:p>
      <w:pPr>
        <w:pStyle w:val="Normal"/>
        <w:spacing w:before="0" w:after="240"/>
        <w:ind w:start="450" w:end="0"/>
        <w:jc w:val="both"/>
        <w:rPr/>
      </w:pPr>
      <w:r>
        <w:rPr/>
        <w:t xml:space="preserve">or at such other address and to the attention of such other person as ECT may designate by written notice to Highstar.  </w:t>
      </w:r>
    </w:p>
    <w:p>
      <w:pPr>
        <w:pStyle w:val="Normal"/>
        <w:spacing w:before="0" w:after="120"/>
        <w:ind w:firstLine="1440" w:end="0"/>
        <w:rPr/>
      </w:pPr>
      <w:r>
        <w:rPr>
          <w:u w:val="single"/>
        </w:rPr>
        <w:t>If to Highstar</w:t>
      </w:r>
      <w:r>
        <w:rPr/>
        <w:t>:</w:t>
      </w:r>
    </w:p>
    <w:p>
      <w:pPr>
        <w:pStyle w:val="Normal"/>
        <w:ind w:firstLine="2160" w:end="0"/>
        <w:rPr/>
      </w:pPr>
      <w:r>
        <w:rPr/>
        <w:t>AIG Highstar Capital, L.P.</w:t>
      </w:r>
    </w:p>
    <w:p>
      <w:pPr>
        <w:pStyle w:val="Normal"/>
        <w:ind w:firstLine="2160" w:end="0"/>
        <w:rPr/>
      </w:pPr>
      <w:r>
        <w:rPr/>
        <w:t>c/o AIG Global Investment Corp.</w:t>
      </w:r>
    </w:p>
    <w:p>
      <w:pPr>
        <w:pStyle w:val="Normal"/>
        <w:ind w:firstLine="2160" w:end="0"/>
        <w:rPr/>
      </w:pPr>
      <w:r>
        <w:rPr/>
        <w:t>175 Water Street, 26th Floor</w:t>
      </w:r>
    </w:p>
    <w:p>
      <w:pPr>
        <w:pStyle w:val="Normal"/>
        <w:ind w:firstLine="2160" w:end="0"/>
        <w:rPr/>
      </w:pPr>
      <w:r>
        <w:rPr/>
        <w:t>New York, NY  10038</w:t>
      </w:r>
    </w:p>
    <w:p>
      <w:pPr>
        <w:pStyle w:val="Normal"/>
        <w:ind w:firstLine="2160" w:end="0"/>
        <w:rPr/>
      </w:pPr>
      <w:r>
        <w:rPr/>
        <w:t>Attention:  Robert Percopo</w:t>
      </w:r>
    </w:p>
    <w:p>
      <w:pPr>
        <w:pStyle w:val="Normal"/>
        <w:ind w:firstLine="2160" w:end="0"/>
        <w:rPr/>
      </w:pPr>
      <w:r>
        <w:rPr/>
        <w:t>Telecopy No.:  (___)</w:t>
      </w:r>
      <w:r>
        <w:rPr>
          <w:u w:val="single"/>
        </w:rPr>
        <w:tab/>
        <w:tab/>
        <w:tab/>
      </w:r>
    </w:p>
    <w:p>
      <w:pPr>
        <w:pStyle w:val="Normal"/>
        <w:ind w:firstLine="2160" w:end="0"/>
        <w:rPr>
          <w:u w:val="single"/>
        </w:rPr>
      </w:pPr>
      <w:r>
        <w:rPr>
          <w:u w:val="single"/>
        </w:rPr>
      </w:r>
    </w:p>
    <w:p>
      <w:pPr>
        <w:pStyle w:val="Normal"/>
        <w:ind w:firstLine="1440" w:end="0"/>
        <w:rPr/>
      </w:pPr>
      <w:r>
        <w:rPr>
          <w:u w:val="single"/>
        </w:rPr>
        <w:t>With a copy to</w:t>
      </w:r>
      <w:r>
        <w:rPr/>
        <w:t>:</w:t>
      </w:r>
    </w:p>
    <w:p>
      <w:pPr>
        <w:pStyle w:val="Normal"/>
        <w:ind w:firstLine="2160" w:end="0"/>
        <w:rPr/>
      </w:pPr>
      <w:r>
        <w:rPr/>
      </w:r>
    </w:p>
    <w:p>
      <w:pPr>
        <w:pStyle w:val="Normal"/>
        <w:ind w:firstLine="2160" w:end="0"/>
        <w:rPr/>
      </w:pPr>
      <w:r>
        <w:rPr/>
        <w:t>Milbank, Tweed, Hadley &amp; McCloy LLP</w:t>
      </w:r>
    </w:p>
    <w:p>
      <w:pPr>
        <w:pStyle w:val="Normal"/>
        <w:ind w:firstLine="2160" w:end="0"/>
        <w:rPr/>
      </w:pPr>
      <w:r>
        <w:rPr/>
        <w:t xml:space="preserve">1 Chase Manhattan Plaza </w:t>
      </w:r>
    </w:p>
    <w:p>
      <w:pPr>
        <w:pStyle w:val="Normal"/>
        <w:ind w:firstLine="2160" w:end="0"/>
        <w:rPr/>
      </w:pPr>
      <w:r>
        <w:rPr/>
        <w:t xml:space="preserve">New York, NY 10005 </w:t>
      </w:r>
    </w:p>
    <w:p>
      <w:pPr>
        <w:pStyle w:val="Normal"/>
        <w:ind w:firstLine="2160" w:end="0"/>
        <w:rPr/>
      </w:pPr>
      <w:r>
        <w:rPr/>
        <w:t>Attention:  Jay D. Grushkin</w:t>
      </w:r>
    </w:p>
    <w:p>
      <w:pPr>
        <w:pStyle w:val="Normal"/>
        <w:ind w:firstLine="2160" w:end="0"/>
        <w:rPr/>
      </w:pPr>
      <w:r>
        <w:rPr/>
        <w:t>Telecopy No.:  (212) 530-5219</w:t>
      </w:r>
    </w:p>
    <w:p>
      <w:pPr>
        <w:pStyle w:val="Normal"/>
        <w:ind w:firstLine="2160" w:end="0"/>
        <w:rPr/>
      </w:pPr>
      <w:r>
        <w:rPr/>
      </w:r>
    </w:p>
    <w:p>
      <w:pPr>
        <w:pStyle w:val="BodyText"/>
        <w:spacing w:before="0" w:after="240"/>
        <w:ind w:start="360" w:end="0"/>
        <w:rPr/>
      </w:pPr>
      <w:r>
        <w:rPr/>
        <w:t xml:space="preserve">or at such other address and to the attention of such other person as Highstar may designate by written notice to ECT.  </w:t>
      </w:r>
    </w:p>
    <w:p>
      <w:pPr>
        <w:pStyle w:val="BodyText"/>
        <w:spacing w:before="0" w:after="240"/>
        <w:ind w:start="360" w:end="0"/>
        <w:rPr/>
      </w:pPr>
      <w:r>
        <w:rPr/>
        <w:t>Notice given by overnight delivery or mail shall be effective upon actual receipt.  Notice given by telecopier shall be effective upon transmission (with electronic confirmation of transmission) if transmitted during the recipient’s normal business hours, or at the beginning of the recipient’s next business day after transmission if not transmitted during the recipient’s normal business hours.  All notices by telecopier shall be confirmed promptly after transmission in writing by certified mail or overnight delivery.</w:t>
      </w:r>
    </w:p>
    <w:p>
      <w:pPr>
        <w:pStyle w:val="BodyText"/>
        <w:numPr>
          <w:ilvl w:val="0"/>
          <w:numId w:val="13"/>
        </w:numPr>
        <w:spacing w:before="0" w:after="240"/>
        <w:rPr/>
      </w:pPr>
      <w:r>
        <w:rPr>
          <w:u w:val="single"/>
        </w:rPr>
        <w:t>Severability</w:t>
      </w:r>
      <w:r>
        <w:rPr/>
        <w:t xml:space="preserve">.  If any term or other provision of this Letter is invalid, illegal, or incapable of being enforced by any </w:t>
      </w:r>
      <w:r>
        <w:rPr>
          <w:strike/>
        </w:rPr>
        <w:t>Law</w:t>
      </w:r>
      <w:r>
        <w:rPr/>
        <w:t xml:space="preserve"> </w:t>
      </w:r>
      <w:r>
        <w:rPr>
          <w:b/>
          <w:u w:val="double"/>
        </w:rPr>
        <w:t>law</w:t>
      </w:r>
      <w:r>
        <w:rPr/>
        <w:t xml:space="preserve"> or public policy, all other conditions and provisions of this Letter shall nevertheless remain in full force and effect so long as the economic or legal substance of the transactions contemplated hereby is not affected in any adverse manner to a Party.  Upon such determination that any term or other provision is invalid, illegal, or incapable of being enforced, the Parties shall negotiate in good faith to modify this Letter so as to effect the original intent of the Parties as closely as possible in an acceptable manner to the end that the transactions contemplated hereby are fulfilled to the extent possible.</w:t>
      </w:r>
    </w:p>
    <w:p>
      <w:pPr>
        <w:pStyle w:val="BodyText"/>
        <w:numPr>
          <w:ilvl w:val="0"/>
          <w:numId w:val="13"/>
        </w:numPr>
        <w:spacing w:before="0" w:after="240"/>
        <w:rPr/>
      </w:pPr>
      <w:r>
        <w:rPr>
          <w:u w:val="single"/>
        </w:rPr>
        <w:t>Amendments and Waivers</w:t>
      </w:r>
      <w:r>
        <w:rPr/>
        <w:t>.  This Letter may not be modified or amended except by an instrument or instruments in writing signed by the Party against whom enforcement of any such modification or amendment is sought.  Any Party may, only by an instrument in writing, waive compliance by the other Party with any term or provision of this Letter on the part of such other Party to be performed or complied with.  The waiver by a Party of a breach of any term or provision of this Letter shall not be construed as a waiver of any subsequent breach.</w:t>
      </w:r>
    </w:p>
    <w:p>
      <w:pPr>
        <w:pStyle w:val="BodyText"/>
        <w:numPr>
          <w:ilvl w:val="0"/>
          <w:numId w:val="13"/>
        </w:numPr>
        <w:spacing w:before="0" w:after="240"/>
        <w:rPr/>
      </w:pPr>
      <w:r>
        <w:rPr>
          <w:u w:val="single"/>
        </w:rPr>
        <w:t>Additional Documents and Actions</w:t>
      </w:r>
      <w:r>
        <w:rPr/>
        <w:t xml:space="preserve">.  Each Party agrees to execute and deliver to the other </w:t>
      </w:r>
      <w:r>
        <w:rPr>
          <w:b/>
          <w:u w:val="double"/>
        </w:rPr>
        <w:t>Party</w:t>
      </w:r>
      <w:r>
        <w:rPr/>
        <w:t xml:space="preserve"> such additional documents and take such additional actions as may be reasonably required by the other </w:t>
      </w:r>
      <w:r>
        <w:rPr>
          <w:b/>
          <w:u w:val="double"/>
        </w:rPr>
        <w:t>Party</w:t>
      </w:r>
      <w:r>
        <w:rPr/>
        <w:t xml:space="preserve"> to </w:t>
      </w:r>
      <w:r>
        <w:rPr>
          <w:strike/>
        </w:rPr>
        <w:t>affect</w:t>
      </w:r>
      <w:r>
        <w:rPr/>
        <w:t xml:space="preserve"> </w:t>
      </w:r>
      <w:r>
        <w:rPr>
          <w:b/>
          <w:u w:val="double"/>
        </w:rPr>
        <w:t>effect</w:t>
      </w:r>
      <w:r>
        <w:rPr/>
        <w:t xml:space="preserve"> the intent of this Letter.</w:t>
      </w:r>
    </w:p>
    <w:p>
      <w:pPr>
        <w:pStyle w:val="BodyText"/>
        <w:numPr>
          <w:ilvl w:val="0"/>
          <w:numId w:val="13"/>
        </w:numPr>
        <w:spacing w:before="0" w:after="240"/>
        <w:rPr/>
      </w:pPr>
      <w:r>
        <w:rPr>
          <w:u w:val="single"/>
        </w:rPr>
        <w:t>Successors and Assigns.</w:t>
      </w:r>
      <w:r>
        <w:rPr/>
        <w:t xml:space="preserve">  The rights and obligations of the Parties shall not be assigned or delegated by either Party without the written consent of the other Party, which may be withheld in such Party’s sole discretion. Subject to the preceding sentence, this Letter shall be binding upon and inure to the benefit of the Parties and their successors and assigns.</w:t>
      </w:r>
    </w:p>
    <w:p>
      <w:pPr>
        <w:pStyle w:val="BodyText"/>
        <w:numPr>
          <w:ilvl w:val="0"/>
          <w:numId w:val="13"/>
        </w:numPr>
        <w:spacing w:before="0" w:after="240"/>
        <w:rPr/>
      </w:pPr>
      <w:r>
        <w:rPr>
          <w:u w:val="single"/>
        </w:rPr>
        <w:t>Counterparts</w:t>
      </w:r>
      <w:r>
        <w:rPr/>
        <w:t>.  This Letter may be executed in one or more counterparts, all of which shall be considered one and the same agreement, and shall become effective when one or more counterparts have been signed by each of the Parties and delivered to the other Party.</w:t>
      </w:r>
      <w:r>
        <w:br w:type="page"/>
      </w:r>
    </w:p>
    <w:p>
      <w:pPr>
        <w:pStyle w:val="BodyText"/>
        <w:keepNext w:val="true"/>
        <w:keepLines/>
        <w:spacing w:before="0" w:after="240"/>
        <w:rPr/>
      </w:pPr>
      <w:r>
        <w:rPr/>
      </w:r>
    </w:p>
    <w:p>
      <w:pPr>
        <w:pStyle w:val="BodyTextIndent2"/>
        <w:widowControl/>
        <w:rPr/>
      </w:pPr>
      <w:r>
        <w:rPr/>
        <w:t>If the terms of this Letter are in accord with your understanding, please sign and return the enclosed counterpart of this Letter no later than May__, 2001.  If you have any questions, please contact Ozzie Pagan at (713) 853-5429 or Heather Kroll at (713) 853-9633.</w:t>
      </w:r>
    </w:p>
    <w:p>
      <w:pPr>
        <w:pStyle w:val="Normal"/>
        <w:widowControl/>
        <w:rPr/>
      </w:pPr>
      <w:r>
        <w:rPr/>
      </w:r>
    </w:p>
    <w:p>
      <w:pPr>
        <w:pStyle w:val="Normal"/>
        <w:widowControl/>
        <w:rPr/>
      </w:pPr>
      <w:r>
        <w:rPr/>
        <w:t>Very truly yours,</w:t>
      </w:r>
    </w:p>
    <w:p>
      <w:pPr>
        <w:pStyle w:val="Normal"/>
        <w:widowControl/>
        <w:rPr/>
      </w:pPr>
      <w:r>
        <w:rPr/>
      </w:r>
    </w:p>
    <w:p>
      <w:pPr>
        <w:pStyle w:val="Normal"/>
        <w:widowControl/>
        <w:rPr/>
      </w:pPr>
      <w:r>
        <w:rPr/>
        <w:t>ECT SECURITIES LIMITED PARTNERSHIP</w:t>
      </w:r>
    </w:p>
    <w:p>
      <w:pPr>
        <w:pStyle w:val="Normal"/>
        <w:widowControl/>
        <w:rPr/>
      </w:pPr>
      <w:r>
        <w:rPr/>
      </w:r>
    </w:p>
    <w:p>
      <w:pPr>
        <w:pStyle w:val="Normal"/>
        <w:widowControl/>
        <w:rPr/>
      </w:pPr>
      <w:r>
        <w:rPr/>
        <w:t>By:</w:t>
        <w:tab/>
        <w:t>ECT GP CORP.,</w:t>
      </w:r>
    </w:p>
    <w:p>
      <w:pPr>
        <w:pStyle w:val="Normal"/>
        <w:widowControl/>
        <w:rPr/>
      </w:pPr>
      <w:r>
        <w:rPr/>
        <w:tab/>
        <w:t>its General Partner</w:t>
      </w:r>
    </w:p>
    <w:p>
      <w:pPr>
        <w:pStyle w:val="Normal"/>
        <w:widowControl/>
        <w:rPr/>
      </w:pPr>
      <w:r>
        <w:rPr/>
      </w:r>
    </w:p>
    <w:p>
      <w:pPr>
        <w:pStyle w:val="Normal"/>
        <w:keepNext w:val="true"/>
        <w:keepLines/>
        <w:widowControl/>
        <w:ind w:start="720" w:end="0"/>
        <w:rPr/>
      </w:pPr>
      <w:r>
        <w:rPr/>
        <w:t>By:__________________________</w:t>
      </w:r>
    </w:p>
    <w:p>
      <w:pPr>
        <w:pStyle w:val="BodyTextIndent2"/>
        <w:keepNext w:val="true"/>
        <w:keepLines/>
        <w:widowControl/>
        <w:rPr/>
      </w:pPr>
      <w:r>
        <w:rPr/>
        <w:t>Name:________________________</w:t>
      </w:r>
    </w:p>
    <w:p>
      <w:pPr>
        <w:pStyle w:val="Normal"/>
        <w:widowControl/>
        <w:ind w:firstLine="720" w:end="0"/>
        <w:rPr/>
      </w:pPr>
      <w:r>
        <w:rPr/>
        <w:t>Title:_________________________</w:t>
      </w:r>
    </w:p>
    <w:p>
      <w:pPr>
        <w:pStyle w:val="Normal"/>
        <w:widowControl/>
        <w:ind w:start="360" w:end="0"/>
        <w:rPr/>
      </w:pPr>
      <w:r>
        <w:rPr/>
        <w:t xml:space="preserve"> </w:t>
      </w:r>
    </w:p>
    <w:p>
      <w:pPr>
        <w:pStyle w:val="Normal"/>
        <w:widowControl/>
        <w:rPr/>
      </w:pPr>
      <w:r>
        <w:rPr/>
      </w:r>
    </w:p>
    <w:p>
      <w:pPr>
        <w:pStyle w:val="Normal"/>
        <w:keepNext w:val="true"/>
        <w:keepLines/>
        <w:widowControl/>
        <w:rPr/>
      </w:pPr>
      <w:r>
        <w:rPr/>
        <w:t xml:space="preserve">Acknowledged and Agreed to this ___ day of May, 2001, by </w:t>
      </w:r>
    </w:p>
    <w:p>
      <w:pPr>
        <w:pStyle w:val="Normal"/>
        <w:keepNext w:val="true"/>
        <w:keepLines/>
        <w:widowControl/>
        <w:rPr/>
      </w:pPr>
      <w:r>
        <w:rPr/>
      </w:r>
    </w:p>
    <w:p>
      <w:pPr>
        <w:pStyle w:val="Normal"/>
        <w:keepNext w:val="true"/>
        <w:keepLines/>
        <w:widowControl/>
        <w:rPr/>
      </w:pPr>
      <w:r>
        <w:rPr/>
        <w:t>AIG HIGHSTAR CAPITAL, L.P.</w:t>
      </w:r>
    </w:p>
    <w:p>
      <w:pPr>
        <w:pStyle w:val="Normal"/>
        <w:keepNext w:val="true"/>
        <w:keepLines/>
        <w:widowControl/>
        <w:rPr/>
      </w:pPr>
      <w:r>
        <w:rPr/>
      </w:r>
    </w:p>
    <w:p>
      <w:pPr>
        <w:pStyle w:val="Normal"/>
        <w:keepNext w:val="true"/>
        <w:keepLines/>
        <w:widowControl/>
        <w:ind w:firstLine="720" w:end="0"/>
        <w:rPr/>
      </w:pPr>
      <w:r>
        <w:rPr/>
        <w:t xml:space="preserve">By: </w:t>
        <w:tab/>
        <w:t xml:space="preserve">AIG GLOBAL INVESTMENT CORP., </w:t>
      </w:r>
    </w:p>
    <w:p>
      <w:pPr>
        <w:pStyle w:val="Normal"/>
        <w:keepNext w:val="true"/>
        <w:keepLines/>
        <w:widowControl/>
        <w:ind w:firstLine="720" w:start="1440" w:end="0"/>
        <w:rPr/>
      </w:pPr>
      <w:r>
        <w:rPr/>
        <w:t xml:space="preserve">its Manager </w:t>
      </w:r>
    </w:p>
    <w:p>
      <w:pPr>
        <w:pStyle w:val="Normal"/>
        <w:keepNext w:val="true"/>
        <w:keepLines/>
        <w:widowControl/>
        <w:ind w:firstLine="720" w:end="0"/>
        <w:rPr/>
      </w:pPr>
      <w:r>
        <w:rPr/>
      </w:r>
    </w:p>
    <w:p>
      <w:pPr>
        <w:pStyle w:val="Normal"/>
        <w:keepNext w:val="true"/>
        <w:keepLines/>
        <w:widowControl/>
        <w:ind w:firstLine="720" w:start="1440" w:end="0"/>
        <w:rPr/>
      </w:pPr>
      <w:r>
        <w:rPr/>
        <w:t>By:__________________________</w:t>
      </w:r>
    </w:p>
    <w:p>
      <w:pPr>
        <w:pStyle w:val="BodyTextIndent2"/>
        <w:keepNext w:val="true"/>
        <w:keepLines/>
        <w:widowControl/>
        <w:ind w:start="1440" w:end="0"/>
        <w:rPr/>
      </w:pPr>
      <w:r>
        <w:rPr/>
        <w:t>Name:________________________</w:t>
      </w:r>
    </w:p>
    <w:p>
      <w:pPr>
        <w:pStyle w:val="BodyTextIndent2"/>
        <w:keepNext w:val="true"/>
        <w:keepLines/>
        <w:widowControl/>
        <w:ind w:start="1440" w:end="0"/>
        <w:rPr/>
      </w:pPr>
      <w:r>
        <w:rPr/>
        <w:t>Title:_________________________</w:t>
      </w:r>
    </w:p>
    <w:p>
      <w:pPr>
        <w:pStyle w:val="Normal"/>
        <w:rPr/>
      </w:pPr>
      <w:r>
        <w:rPr/>
      </w:r>
    </w:p>
    <w:p>
      <w:pPr>
        <w:pStyle w:val="Normal"/>
        <w:rPr/>
      </w:pPr>
      <w:r>
        <w:rPr/>
      </w:r>
    </w:p>
    <w:p>
      <w:pPr>
        <w:pStyle w:val="Normal"/>
        <w:rPr/>
      </w:pPr>
      <w:r>
        <w:rPr/>
      </w:r>
    </w:p>
    <w:p>
      <w:pPr>
        <w:pStyle w:val="Normal"/>
        <w:rPr/>
      </w:pPr>
      <w:r>
        <w:rPr/>
      </w:r>
    </w:p>
    <w:p>
      <w:pPr>
        <w:pStyle w:val="Normal"/>
        <w:rPr>
          <w:sz w:val="16"/>
        </w:rPr>
      </w:pPr>
      <w:r>
        <w:rPr>
          <w:sz w:val="16"/>
        </w:rPr>
      </w:r>
    </w:p>
    <w:p>
      <w:pPr>
        <w:pStyle w:val="Normal"/>
        <w:rPr>
          <w:sz w:val="16"/>
        </w:rPr>
      </w:pPr>
      <w:r>
        <w:rPr>
          <w:sz w:val="16"/>
        </w:rPr>
      </w:r>
    </w:p>
    <w:p>
      <w:pPr>
        <w:pStyle w:val="Normal"/>
        <w:rPr/>
      </w:pPr>
      <w:r>
        <w:rPr/>
      </w:r>
    </w:p>
    <w:p>
      <w:pPr>
        <w:pStyle w:val="Normal"/>
        <w:rPr/>
      </w:pPr>
      <w:r>
        <w:rPr/>
      </w:r>
    </w:p>
    <w:p>
      <w:pPr>
        <w:pStyle w:val="Normal"/>
        <w:rPr/>
      </w:pPr>
      <w:r>
        <w:rPr/>
      </w:r>
    </w:p>
    <w:p>
      <w:pPr>
        <w:pStyle w:val="Normal"/>
        <w:rPr/>
      </w:pPr>
      <w:r>
        <w:rPr/>
      </w:r>
    </w:p>
    <w:p>
      <w:pPr>
        <w:pStyle w:val="Normal"/>
        <w:rPr/>
      </w:pPr>
      <w:r>
        <w:rPr/>
        <w:t>------------------ COMPARISON OF HEADERS ------------------</w:t>
      </w:r>
    </w:p>
    <w:p>
      <w:pPr>
        <w:pStyle w:val="Normal"/>
        <w:rPr/>
      </w:pPr>
      <w:r>
        <w:rPr/>
      </w:r>
    </w:p>
    <w:p>
      <w:pPr>
        <w:pStyle w:val="Normal"/>
        <w:rPr/>
      </w:pPr>
      <w:r>
        <w:rPr/>
        <w:t>-HEADER 1-</w:t>
      </w:r>
    </w:p>
    <w:p>
      <w:pPr>
        <w:pStyle w:val="Normal"/>
        <w:rPr/>
      </w:pPr>
      <w:r>
        <w:rPr/>
      </w:r>
    </w:p>
    <w:p>
      <w:pPr>
        <w:pStyle w:val="Normal"/>
        <w:rPr/>
      </w:pPr>
      <w:r>
        <w:rPr/>
      </w:r>
    </w:p>
    <w:p>
      <w:pPr>
        <w:pStyle w:val="Normal"/>
        <w:rPr/>
      </w:pPr>
      <w:r>
        <w:rPr/>
      </w:r>
    </w:p>
    <w:p>
      <w:pPr>
        <w:pStyle w:val="Normal"/>
        <w:rPr/>
      </w:pPr>
      <w:r>
        <w:rPr/>
      </w:r>
    </w:p>
    <w:p>
      <w:pPr>
        <w:pStyle w:val="Normal"/>
        <w:rPr/>
      </w:pPr>
      <w:r>
        <w:rPr/>
        <w:t>------------------ COMPARISON OF FOOTERS ------------------</w:t>
      </w:r>
    </w:p>
    <w:p>
      <w:pPr>
        <w:pStyle w:val="Normal"/>
        <w:rPr/>
      </w:pPr>
      <w:r>
        <w:rPr/>
      </w:r>
    </w:p>
    <w:p>
      <w:pPr>
        <w:pStyle w:val="Normal"/>
        <w:rPr/>
      </w:pPr>
      <w:r>
        <w:rPr/>
        <w:t>-FOOTER 1-</w:t>
      </w:r>
    </w:p>
    <w:p>
      <w:pPr>
        <w:pStyle w:val="Normal"/>
        <w:rPr/>
      </w:pPr>
      <w:r>
        <w:rPr/>
      </w:r>
    </w:p>
    <w:p>
      <w:pPr>
        <w:pStyle w:val="Normal"/>
        <w:rPr/>
      </w:pPr>
      <w:r>
        <w:rPr/>
      </w:r>
    </w:p>
    <w:p>
      <w:pPr>
        <w:pStyle w:val="Normal"/>
        <w:rPr/>
      </w:pPr>
      <w:r>
        <w:rPr/>
      </w:r>
    </w:p>
    <w:p>
      <w:pPr>
        <w:pStyle w:val="Normal"/>
        <w:rPr/>
      </w:pPr>
      <w:r>
        <w:rPr/>
        <w:t>-FOOTER 2-</w:t>
      </w:r>
    </w:p>
    <w:p>
      <w:pPr>
        <w:pStyle w:val="Normal"/>
        <w:rPr/>
      </w:pPr>
      <w:r>
        <w:rPr>
          <w:strike/>
        </w:rPr>
        <w:t>10</w:t>
      </w:r>
      <w:r>
        <w:rPr/>
        <w:t xml:space="preserve"> </w:t>
      </w:r>
      <w:r>
        <w:rPr>
          <w:b/>
          <w:u w:val="double"/>
        </w:rPr>
        <w:t>5</w:t>
      </w:r>
    </w:p>
    <w:p>
      <w:pPr>
        <w:pStyle w:val="Normal"/>
        <w:rPr/>
      </w:pPr>
      <w:r>
        <w:rPr/>
      </w:r>
    </w:p>
    <w:p>
      <w:pPr>
        <w:pStyle w:val="Normal"/>
        <w:rPr/>
      </w:pPr>
      <w:r>
        <w:rPr>
          <w:strike/>
        </w:rPr>
        <w:t>Houston\1276593.6</w:t>
      </w:r>
      <w:r>
        <w:rPr/>
        <w:t xml:space="preserve"> </w:t>
      </w:r>
      <w:r>
        <w:rPr>
          <w:b/>
          <w:u w:val="double"/>
        </w:rPr>
        <w:t xml:space="preserve">NY1:#3288024v2 </w:t>
      </w:r>
    </w:p>
    <w:p>
      <w:pPr>
        <w:pStyle w:val="Normal"/>
        <w:rPr/>
      </w:pPr>
      <w:r>
        <w:rPr>
          <w:strike/>
        </w:rPr>
        <w:t>Houston\1276593.6</w:t>
      </w:r>
      <w:r>
        <w:rPr/>
        <w:t xml:space="preserve"> </w:t>
      </w:r>
      <w:r>
        <w:rPr>
          <w:b/>
          <w:u w:val="double"/>
        </w:rPr>
        <w:t xml:space="preserve">05/4/01 </w:t>
      </w:r>
    </w:p>
    <w:p>
      <w:pPr>
        <w:pStyle w:val="Normal"/>
        <w:rPr/>
      </w:pPr>
      <w:r>
        <w:rPr/>
      </w:r>
    </w:p>
    <w:p>
      <w:pPr>
        <w:pStyle w:val="Normal"/>
        <w:rPr/>
      </w:pPr>
      <w:r>
        <w:rPr/>
        <w:t>-FOOTER 3-</w:t>
      </w:r>
    </w:p>
    <w:p>
      <w:pPr>
        <w:pStyle w:val="Normal"/>
        <w:rPr/>
      </w:pPr>
      <w:r>
        <w:rPr>
          <w:strike/>
        </w:rPr>
        <w:t>D</w:t>
      </w:r>
      <w:r>
        <w:rPr/>
        <w:t xml:space="preserve"> </w:t>
      </w:r>
      <w:r>
        <w:rPr>
          <w:b/>
          <w:u w:val="double"/>
        </w:rPr>
        <w:t xml:space="preserve">NY1:#3288024v2 </w:t>
      </w:r>
    </w:p>
    <w:p>
      <w:pPr>
        <w:pStyle w:val="Normal"/>
        <w:rPr>
          <w:b/>
          <w:u w:val="double"/>
        </w:rPr>
      </w:pPr>
      <w:r>
        <w:rPr>
          <w:b/>
          <w:u w:val="double"/>
        </w:rPr>
        <w:t xml:space="preserve">05/4/01 </w:t>
      </w:r>
    </w:p>
    <w:p>
      <w:pPr>
        <w:pStyle w:val="Normal"/>
        <w:rPr>
          <w:b/>
          <w:u w:val="double"/>
        </w:rPr>
      </w:pPr>
      <w:r>
        <w:rPr>
          <w:b/>
          <w:u w:val="double"/>
        </w:rPr>
        <w:t>M</w:t>
      </w:r>
    </w:p>
    <w:p>
      <w:pPr>
        <w:pStyle w:val="Normal"/>
        <w:rPr/>
      </w:pPr>
      <w:r>
        <w:rPr/>
      </w:r>
    </w:p>
    <w:p>
      <w:pPr>
        <w:pStyle w:val="Normal"/>
        <w:rPr/>
      </w:pPr>
      <w:r>
        <w:rPr/>
        <w:t xml:space="preserve">This redlined draft, generated by CompareRite (TM) - The Instant Redliner, shows the differences between - </w:t>
      </w:r>
    </w:p>
    <w:p>
      <w:pPr>
        <w:pStyle w:val="Normal"/>
        <w:rPr/>
      </w:pPr>
      <w:r>
        <w:rPr/>
        <w:t>original document   : F:\DOCS\NY1\WBICE\MISC\1YH9L01!.DOC</w:t>
      </w:r>
    </w:p>
    <w:p>
      <w:pPr>
        <w:pStyle w:val="Normal"/>
        <w:rPr/>
      </w:pPr>
      <w:r>
        <w:rPr/>
        <w:t>and revised document: F:\DOCS\NY1\WBICE\MISC\1YH2002!.DOC</w:t>
      </w:r>
    </w:p>
    <w:p>
      <w:pPr>
        <w:pStyle w:val="Normal"/>
        <w:rPr/>
      </w:pPr>
      <w:r>
        <w:rPr/>
      </w:r>
    </w:p>
    <w:p>
      <w:pPr>
        <w:pStyle w:val="Normal"/>
        <w:rPr/>
      </w:pPr>
      <w:r>
        <w:rPr/>
        <w:t>CompareRite found   71 change(s) in the text</w:t>
      </w:r>
    </w:p>
    <w:p>
      <w:pPr>
        <w:pStyle w:val="Normal"/>
        <w:rPr/>
      </w:pPr>
      <w:r>
        <w:rPr/>
        <w:t>CompareRite found    4 change(s) in the notes</w:t>
      </w:r>
    </w:p>
    <w:p>
      <w:pPr>
        <w:pStyle w:val="Normal"/>
        <w:rPr/>
      </w:pPr>
      <w:r>
        <w:rPr/>
      </w:r>
    </w:p>
    <w:p>
      <w:pPr>
        <w:pStyle w:val="Normal"/>
        <w:rPr/>
      </w:pPr>
      <w:r>
        <w:rPr/>
        <w:t xml:space="preserve">Deletions appear as Overstrike text </w:t>
      </w:r>
    </w:p>
    <w:p>
      <w:pPr>
        <w:pStyle w:val="Normal"/>
        <w:rPr/>
      </w:pPr>
      <w:r>
        <w:rPr/>
        <w:t xml:space="preserve">Additions appear as Bold+Dbl Underline text </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13</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13</w:t>
                    </w:r>
                    <w:r>
                      <w:rPr>
                        <w:rStyle w:val="PageNumber"/>
                        <w:sz w:val="24"/>
                      </w:rPr>
                      <w:fldChar w:fldCharType="end"/>
                    </w:r>
                  </w:p>
                </w:txbxContent>
              </v:textbox>
              <w10:wrap type="square"/>
            </v:rect>
          </w:pict>
        </mc:Fallback>
      </mc:AlternateContent>
    </w:r>
  </w:p>
  <w:p>
    <w:pPr>
      <w:pStyle w:val="Footer"/>
      <w:spacing w:lineRule="exact" w:line="200"/>
      <w:rPr/>
    </w:pPr>
    <w:r>
      <w:rPr>
        <w:rStyle w:val="zzmpTrailerItem"/>
      </w:rPr>
      <w:t>NY1:#3288024v2</w:t>
    </w:r>
    <w:r>
      <w:rPr/>
      <w:t xml:space="preserve"> </w:t>
    </w:r>
  </w:p>
  <w:p>
    <w:pPr>
      <w:pStyle w:val="Footer"/>
      <w:spacing w:lineRule="exact" w:line="200"/>
      <w:rPr/>
    </w:pPr>
    <w:r>
      <w:rPr>
        <w:rStyle w:val="zzmpTrailerItem"/>
      </w:rPr>
      <w:fldChar w:fldCharType="begin" w:fldLock="true"/>
    </w:r>
    <w:r>
      <w:rPr>
        <w:rStyle w:val="zzmpTrailerItem"/>
      </w:rPr>
      <w:instrText xml:space="preserve"> DATE \@"MM\/d\/yy" </w:instrText>
    </w:r>
    <w:r>
      <w:rPr>
        <w:rStyle w:val="zzmpTrailerItem"/>
      </w:rPr>
      <w:fldChar w:fldCharType="separate"/>
    </w:r>
    <w:r>
      <w:rPr>
        <w:rStyle w:val="zzmpTrailerItem"/>
      </w:rPr>
      <w:t>05/4/01</w:t>
    </w:r>
    <w:r>
      <w:rPr>
        <w:rStyle w:val="zzmpTrailerItem"/>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NY1:#3288024v2</w:t>
    </w:r>
    <w:r>
      <w:rPr/>
      <w:t xml:space="preserve"> </w:t>
    </w:r>
  </w:p>
  <w:p>
    <w:pPr>
      <w:pStyle w:val="Footer"/>
      <w:spacing w:lineRule="exact" w:line="200"/>
      <w:rPr/>
    </w:pPr>
    <w:r>
      <w:rPr>
        <w:rStyle w:val="zzmpTrailerItem"/>
      </w:rPr>
      <w:fldChar w:fldCharType="begin" w:fldLock="true"/>
    </w:r>
    <w:r>
      <w:rPr>
        <w:rStyle w:val="zzmpTrailerItem"/>
      </w:rPr>
      <w:instrText xml:space="preserve"> DATE \@"MM\/d\/yy" </w:instrText>
    </w:r>
    <w:r>
      <w:rPr>
        <w:rStyle w:val="zzmpTrailerItem"/>
      </w:rPr>
      <w:fldChar w:fldCharType="separate"/>
    </w:r>
    <w:r>
      <w:rPr>
        <w:rStyle w:val="zzmpTrailerItem"/>
      </w:rPr>
      <w:t>05/4/01</w:t>
    </w:r>
    <w:r>
      <w:rPr>
        <w:rStyle w:val="zzmpTrailerItem"/>
      </w:rPr>
      <w:fldChar w:fldCharType="end"/>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7"/>
      <w:numFmt w:val="decimal"/>
      <w:lvlText w:val="%1."/>
      <w:lvlJc w:val="start"/>
      <w:pPr>
        <w:tabs>
          <w:tab w:val="num" w:pos="360"/>
        </w:tabs>
        <w:ind w:start="360" w:hanging="360"/>
      </w:pPr>
    </w:lvl>
  </w:abstractNum>
  <w:abstractNum w:abstractNumId="2">
    <w:lvl w:ilvl="0">
      <w:start w:val="8"/>
      <w:numFmt w:val="decimal"/>
      <w:lvlText w:val="%1."/>
      <w:lvlJc w:val="start"/>
      <w:pPr>
        <w:tabs>
          <w:tab w:val="num" w:pos="360"/>
        </w:tabs>
        <w:ind w:start="360" w:hanging="360"/>
      </w:pPr>
    </w:lvl>
  </w:abstractNum>
  <w:abstractNum w:abstractNumId="3">
    <w:lvl w:ilvl="0">
      <w:start w:val="1"/>
      <w:numFmt w:val="lowerLetter"/>
      <w:lvlText w:val="(%1)"/>
      <w:lvlJc w:val="start"/>
      <w:pPr>
        <w:tabs>
          <w:tab w:val="num" w:pos="1080"/>
        </w:tabs>
        <w:ind w:start="1800" w:hanging="1080"/>
      </w:pPr>
    </w:lvl>
  </w:abstractNum>
  <w:abstractNum w:abstractNumId="4">
    <w:lvl w:ilvl="0">
      <w:start w:val="9"/>
      <w:numFmt w:val="decimal"/>
      <w:lvlText w:val="%1."/>
      <w:lvlJc w:val="start"/>
      <w:pPr>
        <w:tabs>
          <w:tab w:val="num" w:pos="360"/>
        </w:tabs>
        <w:ind w:start="360" w:hanging="360"/>
      </w:pPr>
    </w:lvl>
  </w:abstractNum>
  <w:abstractNum w:abstractNumId="5">
    <w:lvl w:ilvl="0">
      <w:start w:val="3"/>
      <w:numFmt w:val="decimal"/>
      <w:lvlText w:val="%1."/>
      <w:lvlJc w:val="start"/>
      <w:pPr>
        <w:tabs>
          <w:tab w:val="num" w:pos="576"/>
        </w:tabs>
        <w:ind w:start="576" w:hanging="576"/>
      </w:pPr>
    </w:lvl>
  </w:abstractNum>
  <w:abstractNum w:abstractNumId="6">
    <w:lvl w:ilvl="0">
      <w:start w:val="1"/>
      <w:numFmt w:val="lowerLetter"/>
      <w:lvlText w:val="(%1)"/>
      <w:lvlJc w:val="start"/>
      <w:pPr>
        <w:tabs>
          <w:tab w:val="num" w:pos="360"/>
        </w:tabs>
        <w:ind w:start="1080" w:hanging="360"/>
      </w:pPr>
    </w:lvl>
  </w:abstractNum>
  <w:abstractNum w:abstractNumId="7">
    <w:lvl w:ilvl="0">
      <w:start w:val="2"/>
      <w:numFmt w:val="lowerLetter"/>
      <w:lvlText w:val="(%1)"/>
      <w:lvlJc w:val="start"/>
      <w:pPr>
        <w:tabs>
          <w:tab w:val="num" w:pos="1080"/>
        </w:tabs>
        <w:ind w:start="1440" w:hanging="1080"/>
      </w:pPr>
    </w:lvl>
  </w:abstractNum>
  <w:abstractNum w:abstractNumId="8">
    <w:lvl w:ilvl="0">
      <w:start w:val="4"/>
      <w:numFmt w:val="decimal"/>
      <w:lvlText w:val="%1."/>
      <w:lvlJc w:val="start"/>
      <w:pPr>
        <w:tabs>
          <w:tab w:val="num" w:pos="360"/>
        </w:tabs>
        <w:ind w:start="360" w:hanging="360"/>
      </w:pPr>
    </w:lvl>
  </w:abstractNum>
  <w:abstractNum w:abstractNumId="9">
    <w:lvl w:ilvl="0">
      <w:start w:val="1"/>
      <w:numFmt w:val="lowerLetter"/>
      <w:lvlText w:val="(%1)"/>
      <w:lvlJc w:val="start"/>
      <w:pPr>
        <w:tabs>
          <w:tab w:val="num" w:pos="360"/>
        </w:tabs>
        <w:ind w:start="1080" w:hanging="360"/>
      </w:pPr>
    </w:lvl>
  </w:abstractNum>
  <w:abstractNum w:abstractNumId="10">
    <w:lvl w:ilvl="0">
      <w:start w:val="1"/>
      <w:numFmt w:val="lowerLetter"/>
      <w:lvlText w:val="(%1)"/>
      <w:lvlJc w:val="start"/>
      <w:pPr>
        <w:tabs>
          <w:tab w:val="num" w:pos="360"/>
        </w:tabs>
        <w:ind w:start="720" w:hanging="360"/>
      </w:pPr>
    </w:lvl>
  </w:abstractNum>
  <w:abstractNum w:abstractNumId="11">
    <w:lvl w:ilvl="0">
      <w:start w:val="6"/>
      <w:numFmt w:val="decimal"/>
      <w:lvlText w:val="%1."/>
      <w:lvlJc w:val="start"/>
      <w:pPr>
        <w:tabs>
          <w:tab w:val="num" w:pos="360"/>
        </w:tabs>
        <w:ind w:start="360" w:hanging="360"/>
      </w:pPr>
    </w:lvl>
  </w:abstractNum>
  <w:abstractNum w:abstractNumId="12">
    <w:lvl w:ilvl="0">
      <w:start w:val="1"/>
      <w:numFmt w:val="lowerRoman"/>
      <w:lvlText w:val="(%1)"/>
      <w:lvlJc w:val="start"/>
      <w:pPr>
        <w:tabs>
          <w:tab w:val="num" w:pos="720"/>
        </w:tabs>
        <w:ind w:start="1440" w:hanging="720"/>
      </w:pPr>
    </w:lvl>
  </w:abstractNum>
  <w:abstractNum w:abstractNumId="13">
    <w:lvl w:ilvl="0">
      <w:start w:val="13"/>
      <w:numFmt w:val="decimal"/>
      <w:lvlText w:val="%1."/>
      <w:lvlJc w:val="start"/>
      <w:pPr>
        <w:tabs>
          <w:tab w:val="num" w:pos="360"/>
        </w:tabs>
        <w:ind w:start="360" w:hanging="360"/>
      </w:pPr>
    </w:lvl>
  </w:abstractNum>
  <w:abstractNum w:abstractNumId="14">
    <w:lvl w:ilvl="0">
      <w:start w:val="1"/>
      <w:numFmt w:val="lowerLetter"/>
      <w:lvlText w:val="(%1)"/>
      <w:lvlJc w:val="start"/>
      <w:pPr>
        <w:tabs>
          <w:tab w:val="num" w:pos="1080"/>
        </w:tabs>
        <w:ind w:start="1800" w:hanging="1080"/>
      </w:pPr>
    </w:lvl>
  </w:abstractNum>
  <w:abstractNum w:abstractNumId="15">
    <w:lvl w:ilvl="0">
      <w:start w:val="2"/>
      <w:numFmt w:val="decimal"/>
      <w:lvlText w:val="%1."/>
      <w:lvlJc w:val="start"/>
      <w:pPr>
        <w:tabs>
          <w:tab w:val="num" w:pos="360"/>
        </w:tabs>
        <w:ind w:start="360" w:hanging="360"/>
      </w:pPr>
    </w:lvl>
  </w:abstractNum>
  <w:abstractNum w:abstractNumId="16">
    <w:lvl w:ilvl="0">
      <w:start w:val="1"/>
      <w:numFmt w:val="decimal"/>
      <w:lvlText w:val="%1."/>
      <w:lvlJc w:val="start"/>
      <w:pPr>
        <w:tabs>
          <w:tab w:val="num" w:pos="360"/>
        </w:tabs>
        <w:ind w:start="360" w:hanging="360"/>
      </w:pPr>
    </w:lvl>
  </w:abstractNum>
  <w:abstractNum w:abstractNumId="1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zzmpFixedDOC_ID" w:val="H:\Docs\5-4BrokerageRed.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zzmpTrailerItem">
    <w:name w:val="zzmpTrailerItem"/>
    <w:basedOn w:val="DefaultParagraphFont"/>
    <w:qFormat/>
    <w:rPr>
      <w:sz w:val="16"/>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left" w:pos="-1440" w:leader="none"/>
        <w:tab w:val="left" w:pos="720" w:leader="none"/>
      </w:tabs>
      <w:ind w:hanging="810" w:start="810" w:end="0"/>
    </w:pPr>
    <w:rPr/>
  </w:style>
  <w:style w:type="paragraph" w:styleId="BodyTextIndent2">
    <w:name w:val="Body Text Indent 2"/>
    <w:basedOn w:val="Normal"/>
    <w:qFormat/>
    <w:pPr>
      <w:ind w:firstLine="720" w:start="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rporate1A">
    <w:name w:val="Corporate1A"/>
    <w:basedOn w:val="Normal"/>
    <w:next w:val="Normal"/>
    <w:qFormat/>
    <w:pPr>
      <w:tabs>
        <w:tab w:val="clear" w:pos="720"/>
        <w:tab w:val="center" w:pos="4680" w:leader="none"/>
      </w:tabs>
      <w:spacing w:before="0" w:after="240"/>
      <w:jc w:val="center"/>
    </w:pPr>
    <w:rPr/>
  </w:style>
  <w:style w:type="paragraph" w:styleId="SubParaLevel0">
    <w:name w:val="SubParaLevel0"/>
    <w:basedOn w:val="Normal"/>
    <w:qFormat/>
    <w:pPr>
      <w:spacing w:lineRule="exact" w:line="280" w:before="280" w:after="0"/>
      <w:ind w:firstLine="720" w:start="720" w:end="0"/>
      <w:jc w:val="both"/>
    </w:pPr>
    <w:rPr>
      <w:rFonts w:ascii="Times" w:hAnsi="Times" w:cs="Times"/>
    </w:rPr>
  </w:style>
  <w:style w:type="paragraph" w:styleId="BodyTextIndent3">
    <w:name w:val="Body Text Indent 3"/>
    <w:basedOn w:val="Normal"/>
    <w:qFormat/>
    <w:pPr>
      <w:ind w:hanging="0" w:start="720" w:end="0"/>
    </w:pPr>
    <w:rPr/>
  </w:style>
  <w:style w:type="paragraph" w:styleId="Legal2L1">
    <w:name w:val="Legal2_L1"/>
    <w:basedOn w:val="Normal"/>
    <w:next w:val="Legal2L2"/>
    <w:qFormat/>
    <w:pPr>
      <w:keepNext w:val="true"/>
      <w:tabs>
        <w:tab w:val="left" w:pos="720" w:leader="none"/>
      </w:tabs>
      <w:spacing w:before="0" w:after="240"/>
      <w:jc w:val="center"/>
    </w:pPr>
    <w:rPr>
      <w:u w:val="single"/>
    </w:rPr>
  </w:style>
  <w:style w:type="paragraph" w:styleId="Legal2L2">
    <w:name w:val="Legal2_L2"/>
    <w:basedOn w:val="Legal2L1"/>
    <w:qFormat/>
    <w:pPr>
      <w:keepNext w:val="false"/>
      <w:tabs>
        <w:tab w:val="left" w:pos="360" w:leader="none"/>
        <w:tab w:val="left" w:pos="720" w:leader="none"/>
      </w:tabs>
      <w:ind w:firstLine="720" w:start="0" w:end="0"/>
      <w:jc w:val="both"/>
    </w:pPr>
    <w:rPr/>
  </w:style>
  <w:style w:type="paragraph" w:styleId="Legal2L3">
    <w:name w:val="Legal2_L3"/>
    <w:basedOn w:val="Legal2L2"/>
    <w:qFormat/>
    <w:pPr>
      <w:ind w:firstLine="720" w:start="720" w:end="0"/>
    </w:pPr>
    <w:rPr>
      <w:u w:val="none"/>
    </w:rPr>
  </w:style>
  <w:style w:type="paragraph" w:styleId="Legal2L4">
    <w:name w:val="Legal2_L4"/>
    <w:basedOn w:val="Legal2L3"/>
    <w:qFormat/>
    <w:pPr>
      <w:ind w:firstLine="720" w:start="1440" w:end="0"/>
    </w:pPr>
    <w:rPr/>
  </w:style>
  <w:style w:type="paragraph" w:styleId="Legal2L5">
    <w:name w:val="Legal2_L5"/>
    <w:basedOn w:val="Legal2L4"/>
    <w:next w:val="BodyText"/>
    <w:qFormat/>
    <w:pPr>
      <w:ind w:firstLine="2880" w:start="0" w:end="0"/>
      <w:jc w:val="start"/>
    </w:pPr>
    <w:rPr/>
  </w:style>
  <w:style w:type="paragraph" w:styleId="Legal2L6">
    <w:name w:val="Legal2_L6"/>
    <w:basedOn w:val="Legal2L5"/>
    <w:next w:val="BodyText"/>
    <w:qFormat/>
    <w:pPr>
      <w:ind w:firstLine="3600" w:start="0" w:end="0"/>
    </w:pPr>
    <w:rPr/>
  </w:style>
  <w:style w:type="paragraph" w:styleId="Legal2L7">
    <w:name w:val="Legal2_L7"/>
    <w:basedOn w:val="Legal2L6"/>
    <w:next w:val="BodyText"/>
    <w:qFormat/>
    <w:pPr>
      <w:ind w:firstLine="4320" w:start="0" w:end="0"/>
    </w:pPr>
    <w:rPr/>
  </w:style>
  <w:style w:type="paragraph" w:styleId="Legal2L8">
    <w:name w:val="Legal2_L8"/>
    <w:basedOn w:val="Legal2L7"/>
    <w:next w:val="BodyText"/>
    <w:qFormat/>
    <w:pPr>
      <w:ind w:firstLine="5040" w:start="0" w:end="0"/>
    </w:pPr>
    <w:rPr/>
  </w:style>
  <w:style w:type="paragraph" w:styleId="Legal2L9">
    <w:name w:val="Legal2_L9"/>
    <w:basedOn w:val="Legal2L8"/>
    <w:next w:val="BodyText"/>
    <w:qFormat/>
    <w:pPr>
      <w:ind w:firstLine="5760" w:start="0" w:end="0"/>
    </w:pPr>
    <w:rPr/>
  </w:style>
  <w:style w:type="paragraph" w:styleId="FrameContents">
    <w:name w:val="Frame Contents"/>
    <w:basedOn w:val="Normal"/>
    <w:qFormat/>
    <w:pPr/>
    <w:rPr/>
  </w:style>
  <w:style w:type="paragraph" w:styleId="HeaderLeft">
    <w:name w:val="Header Left"/>
    <w:basedOn w:val="Header"/>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2001-05-04T18:58:00Z</dcterms:created>
  <dc:creator>akoehle</dc:creator>
  <dc:description/>
  <dc:language>en-CA</dc:language>
  <cp:lastModifiedBy>WBice</cp:lastModifiedBy>
  <cp:lastPrinted>2001-04-10T17:57:00Z</cp:lastPrinted>
  <dcterms:modified xsi:type="dcterms:W3CDTF">2001-05-04T18:59:00Z</dcterms:modified>
  <cp:revision>2</cp:revision>
  <dc:subject/>
  <dc:title>July 11, 2000</dc:title>
</cp:coreProperties>
</file>