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8"/>
          <w:lang w:val="en-CA"/>
        </w:rPr>
      </w:pPr>
      <w:r>
        <w:rPr>
          <w:rFonts w:cs="Arial" w:ascii="Arial" w:hAnsi="Arial"/>
          <w:spacing w:val="-3"/>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844723053" r:id="rId2"/>
        </w:object>
      </w:r>
    </w:p>
    <w:p>
      <w:pPr>
        <w:pStyle w:val="Normal"/>
        <w:jc w:val="center"/>
        <w:rPr>
          <w:rFonts w:ascii="Arial" w:hAnsi="Arial" w:cs="Arial"/>
          <w:b/>
          <w:spacing w:val="-3"/>
          <w:sz w:val="36"/>
        </w:rPr>
      </w:pPr>
      <w:r>
        <w:rPr>
          <w:rFonts w:cs="Arial" w:ascii="Arial" w:hAnsi="Arial"/>
          <w:b/>
          <w:spacing w:val="-3"/>
          <w:sz w:val="36"/>
        </w:rPr>
        <w:t>WEEKLY SUMMARY</w:t>
      </w:r>
    </w:p>
    <w:p>
      <w:pPr>
        <w:pStyle w:val="Heading4"/>
        <w:ind w:hanging="0" w:start="0"/>
        <w:rPr>
          <w:sz w:val="32"/>
        </w:rPr>
      </w:pPr>
      <w:r>
        <w:rPr/>
        <w:t>MAY 25-31, 2001</w:t>
      </w:r>
    </w:p>
    <w:p>
      <w:pPr>
        <w:pStyle w:val="Normal"/>
        <w:tabs>
          <w:tab w:val="left" w:pos="720" w:leader="none"/>
        </w:tabs>
        <w:ind w:hanging="720" w:start="720" w:end="0"/>
        <w:jc w:val="both"/>
        <w:rPr>
          <w:rFonts w:ascii="Arial" w:hAnsi="Arial" w:cs="Arial"/>
          <w:b/>
          <w:sz w:val="26"/>
        </w:rPr>
      </w:pPr>
      <w:r>
        <w:rPr>
          <w:rFonts w:cs="Arial" w:ascii="Arial" w:hAnsi="Arial"/>
          <w:b/>
          <w:sz w:val="26"/>
        </w:rPr>
      </w:r>
    </w:p>
    <w:p>
      <w:pPr>
        <w:pStyle w:val="Normal"/>
        <w:jc w:val="both"/>
        <w:rPr>
          <w:rFonts w:ascii="Arial" w:hAnsi="Arial" w:cs="Arial"/>
          <w:b/>
          <w:sz w:val="28"/>
        </w:rPr>
      </w:pPr>
      <w:r>
        <w:rPr>
          <w:rFonts w:cs="Arial" w:ascii="Arial" w:hAnsi="Arial"/>
          <w:b/>
          <w:sz w:val="28"/>
        </w:rPr>
      </w:r>
    </w:p>
    <w:p>
      <w:pPr>
        <w:pStyle w:val="BodyTextIndent2"/>
        <w:numPr>
          <w:ilvl w:val="0"/>
          <w:numId w:val="6"/>
        </w:numPr>
        <w:tabs>
          <w:tab w:val="clear" w:pos="720"/>
          <w:tab w:val="left" w:pos="1440" w:leader="none"/>
        </w:tabs>
        <w:rPr>
          <w:sz w:val="28"/>
        </w:rPr>
      </w:pPr>
      <w:r>
        <w:rPr>
          <w:b/>
          <w:sz w:val="28"/>
        </w:rPr>
        <w:t>Yosemite (Deepwater) (Green Canyon 516 #1) (44% WI)</w:t>
      </w:r>
      <w:r>
        <w:rPr>
          <w:sz w:val="28"/>
        </w:rPr>
        <w:t xml:space="preserve"> – </w:t>
      </w:r>
      <w:r>
        <w:rPr>
          <w:sz w:val="28"/>
          <w:lang w:eastAsia="en-US"/>
        </w:rPr>
        <w:t xml:space="preserve">The </w:t>
      </w:r>
      <w:r>
        <w:rPr>
          <w:i/>
          <w:sz w:val="28"/>
          <w:lang w:eastAsia="en-US"/>
        </w:rPr>
        <w:t>Millennium</w:t>
      </w:r>
      <w:r>
        <w:rPr>
          <w:sz w:val="28"/>
          <w:lang w:eastAsia="en-US"/>
        </w:rPr>
        <w:t xml:space="preserve"> deepwater drill ship arrived on location on May 26.  After jetting the 36” casing to 4,146’, a 30” hole was drilled to 5,785’ and 26” casing was run and cemented.  A 24” hole was drilled to 7,014’ where 20” casing is currently being run.</w:t>
      </w:r>
    </w:p>
    <w:p>
      <w:pPr>
        <w:pStyle w:val="BodyTextIndent2"/>
        <w:tabs>
          <w:tab w:val="clear" w:pos="720"/>
          <w:tab w:val="left" w:pos="1440" w:leader="none"/>
        </w:tabs>
        <w:ind w:start="0" w:end="0"/>
        <w:rPr>
          <w:sz w:val="28"/>
        </w:rPr>
      </w:pPr>
      <w:r>
        <w:rPr>
          <w:sz w:val="28"/>
        </w:rPr>
      </w:r>
    </w:p>
    <w:p>
      <w:pPr>
        <w:pStyle w:val="BodyTextIndent2"/>
        <w:numPr>
          <w:ilvl w:val="0"/>
          <w:numId w:val="6"/>
        </w:numPr>
        <w:tabs>
          <w:tab w:val="clear" w:pos="720"/>
          <w:tab w:val="left" w:pos="1440" w:leader="none"/>
        </w:tabs>
        <w:rPr>
          <w:sz w:val="28"/>
        </w:rPr>
      </w:pPr>
      <w:r>
        <w:rPr>
          <w:b/>
          <w:sz w:val="28"/>
          <w:lang w:eastAsia="en-US"/>
        </w:rPr>
        <w:t xml:space="preserve">Crater Lake </w:t>
      </w:r>
      <w:r>
        <w:rPr>
          <w:b/>
          <w:sz w:val="28"/>
        </w:rPr>
        <w:t>(Mississippi Canyon 322/366) (40% WI)</w:t>
      </w:r>
      <w:r>
        <w:rPr>
          <w:sz w:val="28"/>
        </w:rPr>
        <w:t xml:space="preserve"> – Preparing to drill out of surface casing.  Expect to reach TD in week to 10 days.  Plan is to immediately drill the No. 2 and No. 2 sidetrack wells after completing operations on the No. 1.</w:t>
      </w:r>
    </w:p>
    <w:p>
      <w:pPr>
        <w:pStyle w:val="BodyTextIndent2"/>
        <w:tabs>
          <w:tab w:val="clear" w:pos="720"/>
          <w:tab w:val="left" w:pos="1440" w:leader="none"/>
        </w:tabs>
        <w:ind w:start="0" w:end="0"/>
        <w:rPr>
          <w:b/>
          <w:sz w:val="28"/>
        </w:rPr>
      </w:pPr>
      <w:r>
        <w:rPr>
          <w:b/>
          <w:sz w:val="28"/>
        </w:rPr>
      </w:r>
    </w:p>
    <w:p>
      <w:pPr>
        <w:pStyle w:val="BodyTextIndent2"/>
        <w:numPr>
          <w:ilvl w:val="0"/>
          <w:numId w:val="6"/>
        </w:numPr>
        <w:tabs>
          <w:tab w:val="clear" w:pos="720"/>
          <w:tab w:val="left" w:pos="1440" w:leader="none"/>
        </w:tabs>
        <w:rPr>
          <w:sz w:val="28"/>
        </w:rPr>
      </w:pPr>
      <w:r>
        <w:rPr>
          <w:b/>
          <w:sz w:val="28"/>
        </w:rPr>
        <w:t>Hells Canyon/Monet (Deepwater) (Mississippi Canyon 561/605) (16.7% WI)</w:t>
      </w:r>
      <w:r>
        <w:rPr>
          <w:sz w:val="28"/>
        </w:rPr>
        <w:t xml:space="preserve"> – Preparing to drill out of 16” casing at 10,721’.  Should drill the primary objective in the next 3-5 days.   The well is expected to reach TD in mid to late June.</w:t>
      </w:r>
    </w:p>
    <w:p>
      <w:pPr>
        <w:pStyle w:val="BodyTextIndent2"/>
        <w:tabs>
          <w:tab w:val="clear" w:pos="720"/>
          <w:tab w:val="left" w:pos="1440" w:leader="none"/>
        </w:tabs>
        <w:ind w:start="0" w:end="0"/>
        <w:rPr>
          <w:b/>
          <w:sz w:val="28"/>
        </w:rPr>
      </w:pPr>
      <w:r>
        <w:rPr>
          <w:b/>
          <w:sz w:val="28"/>
        </w:rPr>
      </w:r>
    </w:p>
    <w:p>
      <w:pPr>
        <w:pStyle w:val="BodyTextIndent2"/>
        <w:numPr>
          <w:ilvl w:val="0"/>
          <w:numId w:val="6"/>
        </w:numPr>
        <w:tabs>
          <w:tab w:val="clear" w:pos="720"/>
          <w:tab w:val="left" w:pos="1440" w:leader="none"/>
        </w:tabs>
        <w:rPr>
          <w:sz w:val="28"/>
        </w:rPr>
      </w:pPr>
      <w:r>
        <w:rPr>
          <w:b/>
          <w:sz w:val="28"/>
        </w:rPr>
        <w:t>East Breaks AMI</w:t>
      </w:r>
      <w:r>
        <w:rPr>
          <w:sz w:val="28"/>
        </w:rPr>
        <w:t xml:space="preserve"> – Completing an AMI agreement for western East Breaks to encompass the prospective area around the Falcon discovery.  Now planning to finalize by mid-June.  </w:t>
      </w:r>
    </w:p>
    <w:p>
      <w:pPr>
        <w:pStyle w:val="BodyTextIndent2"/>
        <w:tabs>
          <w:tab w:val="clear" w:pos="720"/>
          <w:tab w:val="left" w:pos="1440" w:leader="none"/>
        </w:tabs>
        <w:ind w:start="0" w:end="0"/>
        <w:rPr>
          <w:b/>
          <w:sz w:val="28"/>
        </w:rPr>
      </w:pPr>
      <w:r>
        <w:rPr>
          <w:b/>
          <w:sz w:val="28"/>
        </w:rPr>
      </w:r>
    </w:p>
    <w:p>
      <w:pPr>
        <w:pStyle w:val="BodyTextIndent2"/>
        <w:numPr>
          <w:ilvl w:val="0"/>
          <w:numId w:val="6"/>
        </w:numPr>
        <w:tabs>
          <w:tab w:val="clear" w:pos="720"/>
          <w:tab w:val="left" w:pos="1440" w:leader="none"/>
        </w:tabs>
        <w:rPr>
          <w:sz w:val="28"/>
        </w:rPr>
      </w:pPr>
      <w:r>
        <w:rPr>
          <w:b/>
          <w:sz w:val="28"/>
        </w:rPr>
        <w:t>Texaco Farmout</w:t>
      </w:r>
      <w:r>
        <w:rPr>
          <w:sz w:val="28"/>
        </w:rPr>
        <w:t xml:space="preserve"> – Have received Texaco’s counter proposal and are currently evaluating.  Expect to make counteroffer Friday including firm commitment to pay rentals on 16 blocks. </w:t>
      </w:r>
    </w:p>
    <w:p>
      <w:pPr>
        <w:pStyle w:val="BodyTextIndent2"/>
        <w:tabs>
          <w:tab w:val="clear" w:pos="720"/>
          <w:tab w:val="left" w:pos="1440" w:leader="none"/>
        </w:tabs>
        <w:ind w:start="0" w:end="0"/>
        <w:rPr>
          <w:b/>
          <w:sz w:val="28"/>
        </w:rPr>
      </w:pPr>
      <w:r>
        <w:rPr>
          <w:b/>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Indent2"/>
        <w:numPr>
          <w:ilvl w:val="0"/>
          <w:numId w:val="6"/>
        </w:numPr>
        <w:tabs>
          <w:tab w:val="clear" w:pos="720"/>
          <w:tab w:val="left" w:pos="1440" w:leader="none"/>
        </w:tabs>
        <w:rPr/>
      </w:pPr>
      <w:r>
        <w:rPr>
          <w:b/>
          <w:sz w:val="28"/>
        </w:rPr>
        <w:t>Argo Prospect (East Breaks 981/Alaminos Canyon 13)</w:t>
      </w:r>
      <w:r>
        <w:rPr>
          <w:sz w:val="28"/>
        </w:rPr>
        <w:t xml:space="preserve"> – Pursuant to the Mariner Board of Directors’ decision, Mariner committed to acquire a 25% WI in Pioneer’s Argo (Mariner’s Mockingbird) Prospect.  Mariner will pay leasehold cost of $1.86 million and 50% of the dry hole cost of the initial test well to casing point.  Pioneer’s AFE to drill the initial test well is $5.811 million, based upon Pioneer using the Millennium drillship.  Mariner’s estimated risk dollar exposure is $4.77 million.  If Pioneer contracts the </w:t>
      </w:r>
      <w:r>
        <w:rPr>
          <w:i/>
          <w:sz w:val="28"/>
        </w:rPr>
        <w:t>Millennium</w:t>
      </w:r>
      <w:r>
        <w:rPr>
          <w:sz w:val="28"/>
        </w:rPr>
        <w:t>, the well is expected to spud in late June.</w:t>
      </w:r>
      <w:r>
        <w:rPr/>
        <w:t xml:space="preserve"> </w:t>
      </w:r>
    </w:p>
    <w:p>
      <w:pPr>
        <w:pStyle w:val="Normal"/>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154427820"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MAY 31,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 xml:space="preserve">R. </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D. </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L.  </w:t>
              <w:tab/>
              <w:t xml:space="preserve">V. </w:t>
              <w:tab/>
              <w:t>McGuire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numPr>
                <w:ilvl w:val="0"/>
                <w:numId w:val="7"/>
              </w:numPr>
              <w:tabs>
                <w:tab w:val="clear" w:pos="720"/>
                <w:tab w:val="left" w:pos="900" w:leader="none"/>
              </w:tabs>
              <w:rPr>
                <w:rFonts w:ascii="Arial" w:hAnsi="Arial" w:cs="Arial"/>
                <w:sz w:val="24"/>
              </w:rPr>
            </w:pPr>
            <w:r>
              <w:rPr>
                <w:rFonts w:cs="Arial" w:ascii="Arial" w:hAnsi="Arial"/>
                <w:sz w:val="24"/>
              </w:rPr>
              <w:t xml:space="preserve">W. </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 xml:space="preserve">R. </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 xml:space="preserve">Clement </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tabs>
          <w:tab w:val="left" w:pos="720" w:leader="none"/>
        </w:tabs>
        <w:ind w:hanging="720" w:start="2160" w:end="0"/>
        <w:jc w:val="both"/>
        <w:rPr>
          <w:rFonts w:ascii="Arial" w:hAnsi="Arial" w:cs="Arial"/>
          <w:sz w:val="24"/>
        </w:rPr>
      </w:pPr>
      <w:r>
        <w:rPr>
          <w:rFonts w:cs="Arial" w:ascii="Arial" w:hAnsi="Arial"/>
          <w:sz w:val="24"/>
        </w:rPr>
        <w:t>a.</w:t>
        <w:tab/>
      </w:r>
      <w:r>
        <w:rPr>
          <w:rFonts w:cs="Arial" w:ascii="Arial" w:hAnsi="Arial"/>
          <w:b/>
          <w:sz w:val="24"/>
        </w:rPr>
        <w:t>Aconcagua (Deepwater) (Mississippi Canyon 305) (25% WI)</w:t>
      </w:r>
      <w:r>
        <w:rPr>
          <w:rFonts w:cs="Arial" w:ascii="Arial" w:hAnsi="Arial"/>
          <w:sz w:val="24"/>
        </w:rPr>
        <w:t xml:space="preserve"> – </w:t>
      </w:r>
      <w:r>
        <w:rPr>
          <w:rFonts w:cs="Arial" w:ascii="Arial" w:hAnsi="Arial"/>
          <w:sz w:val="24"/>
          <w:lang w:eastAsia="en-US"/>
        </w:rPr>
        <w:t xml:space="preserve">Plan to begin marketing ½ of Mariner’s interest prior to mid-year. </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numPr>
          <w:ilvl w:val="0"/>
          <w:numId w:val="9"/>
        </w:numPr>
        <w:tabs>
          <w:tab w:val="left" w:pos="720" w:leader="none"/>
        </w:tabs>
        <w:ind w:hanging="720" w:start="2160" w:end="0"/>
        <w:jc w:val="both"/>
        <w:rPr>
          <w:rFonts w:ascii="Arial" w:hAnsi="Arial" w:cs="Arial"/>
          <w:sz w:val="24"/>
        </w:rPr>
      </w:pPr>
      <w:r>
        <w:rPr>
          <w:rFonts w:cs="Arial" w:ascii="Arial" w:hAnsi="Arial"/>
          <w:b/>
          <w:sz w:val="24"/>
        </w:rPr>
        <w:t>Pluto (Deepwater) (Mississippi Canyon 674/718) (Mariner 51% WI)</w:t>
      </w:r>
      <w:r>
        <w:rPr>
          <w:rFonts w:cs="Arial" w:ascii="Arial" w:hAnsi="Arial"/>
          <w:sz w:val="24"/>
        </w:rPr>
        <w:t xml:space="preserve"> –</w:t>
      </w:r>
    </w:p>
    <w:p>
      <w:pPr>
        <w:pStyle w:val="BodyText"/>
        <w:ind w:start="2160" w:end="0"/>
        <w:jc w:val="both"/>
        <w:rPr/>
      </w:pPr>
      <w:r>
        <w:rPr/>
        <w:t>The current flow rate is 39 MMCFPD and 4,800 BCPD.</w:t>
      </w:r>
    </w:p>
    <w:p>
      <w:pPr>
        <w:pStyle w:val="BodyText"/>
        <w:ind w:start="2160" w:end="0"/>
        <w:jc w:val="both"/>
        <w:rPr/>
      </w:pPr>
      <w:r>
        <w:rPr/>
      </w:r>
    </w:p>
    <w:p>
      <w:pPr>
        <w:pStyle w:val="BodyText"/>
        <w:numPr>
          <w:ilvl w:val="0"/>
          <w:numId w:val="9"/>
        </w:numPr>
        <w:tabs>
          <w:tab w:val="clear" w:pos="720"/>
        </w:tabs>
        <w:ind w:hanging="720" w:start="2160" w:end="0"/>
        <w:jc w:val="both"/>
        <w:rPr/>
      </w:pPr>
      <w:r>
        <w:rPr>
          <w:b/>
        </w:rPr>
        <w:t>Black Stone Minerals B-1 S/T #2 (Onshore) (40% WI)</w:t>
      </w:r>
      <w:r>
        <w:rPr/>
        <w:t xml:space="preserve"> – Plan to sidetrack well and make a second completion attempt in the EY-1.  Production logs indicate the water produced on test was from out of zone.  Open hole logs and pressure information indicate the EY-1 is gas bearing with 4000+ psi BHP.  Expect to sidetrack in July. </w:t>
      </w:r>
    </w:p>
    <w:p>
      <w:pPr>
        <w:pStyle w:val="BodyText"/>
        <w:ind w:start="1440" w:end="0"/>
        <w:jc w:val="both"/>
        <w:rPr/>
      </w:pPr>
      <w:r>
        <w:rPr/>
      </w:r>
    </w:p>
    <w:p>
      <w:pPr>
        <w:pStyle w:val="BodyText"/>
        <w:numPr>
          <w:ilvl w:val="0"/>
          <w:numId w:val="9"/>
        </w:numPr>
        <w:tabs>
          <w:tab w:val="clear" w:pos="720"/>
        </w:tabs>
        <w:ind w:hanging="720" w:start="2160" w:end="0"/>
        <w:jc w:val="both"/>
        <w:rPr/>
      </w:pPr>
      <w:r>
        <w:rPr>
          <w:b/>
        </w:rPr>
        <w:t xml:space="preserve">King Kong (Deepwater) (Green Canyon 472) (50% WI) </w:t>
      </w:r>
      <w:r>
        <w:rPr/>
        <w:t xml:space="preserve">– </w:t>
      </w:r>
      <w:r>
        <w:rPr>
          <w:spacing w:val="-5"/>
          <w:lang w:eastAsia="en-US"/>
        </w:rPr>
        <w:t xml:space="preserve">While running the 26” casing, a loop current caused the casing to part in a coupling and drop 1,725‘ to the ocean floor.  The wellbore was cleaned out while waiting on a replacement string of heavier wall casing.  </w:t>
        <w:tab/>
        <w:t>The replacement casing string was run to 5,685’ where it became stuck.  The casing was worked free, pulled and laid down.  After making a clean-out trip, the 26” casing was run and cemented at 5,617’.  We are currently drilling the 24” hole at 6,065’.</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1.</w:t>
        <w:tab/>
      </w: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BodyText"/>
        <w:jc w:val="both"/>
        <w:rPr>
          <w:rFonts w:ascii="Arial" w:hAnsi="Arial" w:cs="Arial"/>
          <w:b/>
          <w:sz w:val="24"/>
          <w:u w:val="single"/>
        </w:rPr>
      </w:pPr>
      <w:r>
        <w:rPr>
          <w:rFonts w:cs="Arial"/>
          <w:b/>
          <w:sz w:val="24"/>
          <w:u w:val="single"/>
        </w:rPr>
      </w:r>
    </w:p>
    <w:p>
      <w:pPr>
        <w:pStyle w:val="BodyText"/>
        <w:numPr>
          <w:ilvl w:val="0"/>
          <w:numId w:val="9"/>
        </w:numPr>
        <w:tabs>
          <w:tab w:val="clear" w:pos="720"/>
        </w:tabs>
        <w:ind w:hanging="720" w:start="2160" w:end="0"/>
        <w:jc w:val="both"/>
        <w:rPr/>
      </w:pPr>
      <w:r>
        <w:rPr>
          <w:b/>
        </w:rPr>
        <w:t>Yosemite (Deepwater) (Green Canyon 516 #1) (44% WI)</w:t>
      </w:r>
      <w:r>
        <w:rPr/>
        <w:t xml:space="preserve"> – </w:t>
      </w:r>
      <w:r>
        <w:rPr>
          <w:spacing w:val="-5"/>
          <w:lang w:eastAsia="en-US"/>
        </w:rPr>
        <w:t xml:space="preserve">The </w:t>
      </w:r>
      <w:r>
        <w:rPr>
          <w:i/>
          <w:spacing w:val="-5"/>
          <w:lang w:eastAsia="en-US"/>
        </w:rPr>
        <w:t>Millennium</w:t>
      </w:r>
      <w:r>
        <w:rPr>
          <w:spacing w:val="-5"/>
          <w:lang w:eastAsia="en-US"/>
        </w:rPr>
        <w:t xml:space="preserve"> deepwater drill ship arrived on location on May 26.  After jetting the 36” casing to 4,146’, a 30” hole was drilled to 5,785’ and 26” casing was run and cemented.  A 24” hole was drilled to 7,014’ where 20” casing is currently being run.</w:t>
      </w:r>
    </w:p>
    <w:p>
      <w:pPr>
        <w:pStyle w:val="Normal"/>
        <w:ind w:start="1440" w:end="0"/>
        <w:jc w:val="both"/>
        <w:rPr>
          <w:rFonts w:ascii="Arial" w:hAnsi="Arial" w:cs="Arial"/>
          <w:sz w:val="32"/>
        </w:rPr>
      </w:pPr>
      <w:r>
        <w:rPr>
          <w:rFonts w:cs="Arial" w:ascii="Arial" w:hAnsi="Arial"/>
          <w:sz w:val="32"/>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tabs>
          <w:tab w:val="clear" w:pos="720"/>
          <w:tab w:val="left" w:pos="1440" w:leader="none"/>
        </w:tabs>
        <w:ind w:hanging="720" w:end="0"/>
        <w:rPr>
          <w:rFonts w:ascii="Arial" w:hAnsi="Arial" w:cs="Arial"/>
          <w:b/>
          <w:i/>
          <w:i/>
          <w:sz w:val="24"/>
          <w:u w:val="single"/>
        </w:rPr>
      </w:pPr>
      <w:r>
        <w:rPr>
          <w:rFonts w:cs="Arial"/>
          <w:b/>
          <w:i/>
          <w:sz w:val="24"/>
          <w:u w:val="single"/>
        </w:rPr>
      </w:r>
    </w:p>
    <w:p>
      <w:pPr>
        <w:pStyle w:val="BodyTextIndent2"/>
        <w:numPr>
          <w:ilvl w:val="1"/>
          <w:numId w:val="5"/>
        </w:numPr>
        <w:tabs>
          <w:tab w:val="clear" w:pos="720"/>
          <w:tab w:val="left" w:pos="1440" w:leader="none"/>
        </w:tabs>
        <w:ind w:hanging="720" w:start="1440" w:end="0"/>
        <w:rPr/>
      </w:pPr>
      <w:r>
        <w:rPr>
          <w:b/>
          <w:lang w:eastAsia="en-US"/>
        </w:rPr>
        <w:t xml:space="preserve">Crater Lake </w:t>
      </w:r>
      <w:r>
        <w:rPr>
          <w:b/>
        </w:rPr>
        <w:t>(Mississippi Canyon 322/366) (40% WI)</w:t>
      </w:r>
      <w:r>
        <w:rPr/>
        <w:t xml:space="preserve"> – Preparing to drill out of surface casing.  Expect to reach TD in week to 10 days.  Plan is to immediately drill the No. 2 and No. 2 sidetrack wells after completing operations on the No. 1. </w:t>
      </w:r>
    </w:p>
    <w:p>
      <w:pPr>
        <w:pStyle w:val="BodyTextIndent2"/>
        <w:tabs>
          <w:tab w:val="clear" w:pos="720"/>
          <w:tab w:val="left" w:pos="1440" w:leader="none"/>
        </w:tabs>
        <w:ind w:start="720" w:end="0"/>
        <w:rPr/>
      </w:pPr>
      <w:r>
        <w:rPr/>
      </w:r>
    </w:p>
    <w:p>
      <w:pPr>
        <w:pStyle w:val="BodyTextIndent2"/>
        <w:numPr>
          <w:ilvl w:val="1"/>
          <w:numId w:val="5"/>
        </w:numPr>
        <w:tabs>
          <w:tab w:val="clear" w:pos="720"/>
          <w:tab w:val="left" w:pos="1440" w:leader="none"/>
        </w:tabs>
        <w:ind w:hanging="720" w:start="1440" w:end="0"/>
        <w:rPr/>
      </w:pPr>
      <w:r>
        <w:rPr>
          <w:b/>
        </w:rPr>
        <w:t>Hells Canyon/Monet (Deepwater) (Mississippi Canyon 561/605) (16.7% WI)</w:t>
      </w:r>
      <w:r>
        <w:rPr/>
        <w:t xml:space="preserve"> – Preparing to drill out of 16” casing at 10,721’.  Should drill the primary objective in the next 3-5 days.   The well is expected to reach TD in mid to late June. </w:t>
      </w:r>
    </w:p>
    <w:p>
      <w:pPr>
        <w:pStyle w:val="BodyTextIndent2"/>
        <w:tabs>
          <w:tab w:val="clear" w:pos="720"/>
          <w:tab w:val="left" w:pos="1440" w:leader="none"/>
        </w:tabs>
        <w:ind w:start="0" w:end="0"/>
        <w:rPr>
          <w:b/>
        </w:rPr>
      </w:pPr>
      <w:r>
        <w:rPr>
          <w:b/>
        </w:rPr>
      </w:r>
    </w:p>
    <w:p>
      <w:pPr>
        <w:pStyle w:val="BodyTextIndent2"/>
        <w:numPr>
          <w:ilvl w:val="1"/>
          <w:numId w:val="5"/>
        </w:numPr>
        <w:tabs>
          <w:tab w:val="clear" w:pos="720"/>
          <w:tab w:val="left" w:pos="1440" w:leader="none"/>
        </w:tabs>
        <w:ind w:hanging="720" w:start="1440" w:end="0"/>
        <w:rPr/>
      </w:pPr>
      <w:r>
        <w:rPr>
          <w:b/>
        </w:rPr>
        <w:t>Eastern Gulf of Mexico Sale 181 (December 2001)</w:t>
      </w:r>
      <w:r>
        <w:rPr/>
        <w:t xml:space="preserve"> – Negotiating a joint bidding partnership with Pioneer.  Expect to have an agreement in place by the middle of June.  Soliciting a third company to join the partnership. </w:t>
      </w:r>
    </w:p>
    <w:p>
      <w:pPr>
        <w:pStyle w:val="BodyTextIndent2"/>
        <w:tabs>
          <w:tab w:val="clear" w:pos="720"/>
          <w:tab w:val="left" w:pos="1440" w:leader="none"/>
        </w:tabs>
        <w:ind w:start="0" w:end="0"/>
        <w:rPr>
          <w:b/>
        </w:rPr>
      </w:pPr>
      <w:r>
        <w:rPr>
          <w:b/>
        </w:rPr>
      </w:r>
    </w:p>
    <w:p>
      <w:pPr>
        <w:pStyle w:val="BodyTextIndent2"/>
        <w:numPr>
          <w:ilvl w:val="1"/>
          <w:numId w:val="5"/>
        </w:numPr>
        <w:tabs>
          <w:tab w:val="clear" w:pos="720"/>
          <w:tab w:val="left" w:pos="1440" w:leader="none"/>
        </w:tabs>
        <w:ind w:hanging="720" w:start="1440" w:end="0"/>
        <w:rPr/>
      </w:pPr>
      <w:r>
        <w:rPr>
          <w:b/>
        </w:rPr>
        <w:t>East Breaks AMI</w:t>
      </w:r>
      <w:r>
        <w:rPr/>
        <w:t xml:space="preserve"> – Completing an AMI agreement for western East Breaks to encompass the prospective area around the Falcon discovery.  Now planning to finalize by mid-June.  </w:t>
      </w:r>
    </w:p>
    <w:p>
      <w:pPr>
        <w:pStyle w:val="BodyTextIndent2"/>
        <w:tabs>
          <w:tab w:val="clear" w:pos="720"/>
          <w:tab w:val="left" w:pos="1440" w:leader="none"/>
        </w:tabs>
        <w:ind w:start="0" w:end="0"/>
        <w:rPr>
          <w:b/>
        </w:rPr>
      </w:pPr>
      <w:r>
        <w:rPr>
          <w:b/>
        </w:rPr>
      </w:r>
    </w:p>
    <w:p>
      <w:pPr>
        <w:pStyle w:val="BodyTextIndent2"/>
        <w:numPr>
          <w:ilvl w:val="1"/>
          <w:numId w:val="5"/>
        </w:numPr>
        <w:tabs>
          <w:tab w:val="clear" w:pos="720"/>
          <w:tab w:val="left" w:pos="1440" w:leader="none"/>
        </w:tabs>
        <w:ind w:hanging="720" w:start="1440" w:end="0"/>
        <w:rPr/>
      </w:pPr>
      <w:r>
        <w:rPr>
          <w:b/>
        </w:rPr>
        <w:t>Texaco Farmout</w:t>
      </w:r>
      <w:r>
        <w:rPr/>
        <w:t xml:space="preserve"> – Have received Texaco’s counter proposal and are currently evaluating.  Expect to make counteroffer Friday including firm commitment to pay rentals on 16 blocks.</w:t>
      </w:r>
    </w:p>
    <w:p>
      <w:pPr>
        <w:pStyle w:val="BodyTextIndent2"/>
        <w:tabs>
          <w:tab w:val="clear" w:pos="720"/>
          <w:tab w:val="left" w:pos="1440" w:leader="none"/>
        </w:tabs>
        <w:ind w:start="0" w:end="0"/>
        <w:rPr>
          <w:b/>
        </w:rPr>
      </w:pPr>
      <w:r>
        <w:rPr>
          <w:b/>
        </w:rPr>
      </w:r>
    </w:p>
    <w:p>
      <w:pPr>
        <w:pStyle w:val="BodyTextIndent2"/>
        <w:numPr>
          <w:ilvl w:val="1"/>
          <w:numId w:val="5"/>
        </w:numPr>
        <w:tabs>
          <w:tab w:val="clear" w:pos="720"/>
          <w:tab w:val="left" w:pos="1440" w:leader="none"/>
        </w:tabs>
        <w:ind w:hanging="720" w:start="1440" w:end="0"/>
        <w:rPr/>
      </w:pPr>
      <w:r>
        <w:rPr>
          <w:b/>
        </w:rPr>
        <w:t>Argo Prospect (East Breaks 981/Alaminos Canyon 13)</w:t>
      </w:r>
      <w:r>
        <w:rPr/>
        <w:t xml:space="preserve"> – Pursuant to the Mariner Board of Directors’ decision, Mariner committed to acquire a 25% WI in Pioneer’s Argo (Mariner’s Mockingbird) Prospect.  Mariner will pay leasehold cost of $1.86 million and 50% of the dry hole cost of the initial test well to casing point.  Pioneer’s AFE to drill the initial test well is $5.811 million, based upon Pioneer using the </w:t>
      </w:r>
      <w:r>
        <w:rPr>
          <w:i/>
        </w:rPr>
        <w:t>Millennium</w:t>
      </w:r>
      <w:r>
        <w:rPr/>
        <w:t xml:space="preserve"> drillship.  Mariner’s estimated risk dollar exposure is $4.77 million.  If Pioneer contracts the Millennium, the well is expected to spud in late June. </w:t>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 </w:t>
      </w:r>
      <w:r>
        <w:rPr>
          <w:rFonts w:cs="Arial" w:ascii="Arial" w:hAnsi="Arial"/>
          <w:sz w:val="24"/>
          <w:lang w:eastAsia="en-US"/>
        </w:rPr>
        <w:t xml:space="preserve">At May 23, 2001, the balance on the recently-increased $80 million Bank of America-led revolving credit facility was zero due to the receipt of proceeds from the sale of Devils Tower, and we had a short-term cash investment of $34.5 million.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numPr>
          <w:ilvl w:val="1"/>
          <w:numId w:val="10"/>
        </w:numPr>
        <w:jc w:val="both"/>
        <w:rPr>
          <w:rFonts w:ascii="Arial" w:hAnsi="Arial" w:cs="Arial"/>
          <w:sz w:val="24"/>
          <w:lang w:eastAsia="en-US"/>
        </w:rPr>
      </w:pPr>
      <w:r>
        <w:rPr>
          <w:rFonts w:cs="Arial" w:ascii="Arial" w:hAnsi="Arial"/>
          <w:b/>
          <w:sz w:val="24"/>
          <w:lang w:eastAsia="en-US"/>
        </w:rPr>
        <w:t>Project Finance</w:t>
      </w:r>
      <w:r>
        <w:rPr>
          <w:rFonts w:cs="Arial" w:ascii="Arial" w:hAnsi="Arial"/>
          <w:sz w:val="24"/>
          <w:lang w:eastAsia="en-US"/>
        </w:rPr>
        <w:t xml:space="preserve"> – Discussions continue with Enron North America, Bank One, Duke and Mitsubishi for the King Kong infrastructure financing.  We are also studying the use of the MARAD Title XI guarantee program to finance a low cost floating production system (Mariner-1).</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10"/>
        </w:numPr>
        <w:jc w:val="both"/>
        <w:rPr>
          <w:rFonts w:ascii="Arial" w:hAnsi="Arial" w:cs="Arial"/>
          <w:sz w:val="24"/>
        </w:rPr>
      </w:pPr>
      <w:r>
        <w:rPr>
          <w:rFonts w:cs="Arial" w:ascii="Arial" w:hAnsi="Arial"/>
          <w:b/>
          <w:sz w:val="24"/>
          <w:lang w:eastAsia="en-US"/>
        </w:rPr>
        <w:t>Capital Markets</w:t>
      </w:r>
      <w:r>
        <w:rPr>
          <w:rFonts w:cs="Arial" w:ascii="Arial" w:hAnsi="Arial"/>
          <w:sz w:val="24"/>
          <w:lang w:eastAsia="en-US"/>
        </w:rPr>
        <w:t xml:space="preserve"> – Meetings have been held with several investment bankers in the last month to discuss the current status of debt and equity capital markets.  A meeting is also being scheduled for mid-June with one of Mariner’s existing bondholders at their request.</w:t>
      </w:r>
    </w:p>
    <w:p>
      <w:pPr>
        <w:pStyle w:val="Normal"/>
        <w:jc w:val="both"/>
        <w:rPr>
          <w:rFonts w:ascii="Arial" w:hAnsi="Arial" w:cs="Arial"/>
          <w:sz w:val="24"/>
        </w:rPr>
      </w:pPr>
      <w:r>
        <w:rPr>
          <w:rFonts w:cs="Arial" w:ascii="Arial" w:hAnsi="Arial"/>
          <w:sz w:val="24"/>
        </w:rPr>
      </w:r>
    </w:p>
    <w:p>
      <w:pPr>
        <w:pStyle w:val="Normal"/>
        <w:numPr>
          <w:ilvl w:val="1"/>
          <w:numId w:val="10"/>
        </w:numPr>
        <w:jc w:val="both"/>
        <w:rPr>
          <w:rFonts w:ascii="Arial" w:hAnsi="Arial" w:cs="Arial"/>
          <w:sz w:val="24"/>
        </w:rPr>
      </w:pPr>
      <w:r>
        <w:rPr>
          <w:rFonts w:cs="Arial" w:ascii="Arial" w:hAnsi="Arial"/>
          <w:b/>
          <w:sz w:val="24"/>
          <w:lang w:eastAsia="en-US"/>
        </w:rPr>
        <w:t xml:space="preserve">Deepwater Royalty Relief </w:t>
      </w:r>
      <w:r>
        <w:rPr>
          <w:rFonts w:cs="Arial" w:ascii="Arial" w:hAnsi="Arial"/>
          <w:sz w:val="24"/>
          <w:lang w:eastAsia="en-US"/>
        </w:rPr>
        <w:t>– We are appealing an MMS ruling that production from two post-royalty relief act fields, Dulcimer and Black Widow, is subject to royalty payments to the agency.  The appeal is administrative in nature, and royalty payments are not expected to be made until the MMS decides on the merits of the appeal.</w:t>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rPr>
      </w:pPr>
      <w:r>
        <w:rPr>
          <w:rFonts w:cs="Arial" w:ascii="Arial" w:hAnsi="Arial"/>
          <w:b/>
          <w:sz w:val="24"/>
          <w:u w:val="single"/>
        </w:rPr>
      </w:r>
    </w:p>
    <w:p>
      <w:pPr>
        <w:pStyle w:val="Normal"/>
        <w:keepNext w:val="true"/>
        <w:numPr>
          <w:ilvl w:val="1"/>
          <w:numId w:val="11"/>
        </w:numPr>
        <w:jc w:val="both"/>
        <w:rPr>
          <w:rFonts w:ascii="Arial" w:hAnsi="Arial" w:cs="Arial"/>
          <w:sz w:val="24"/>
          <w:lang w:eastAsia="en-US"/>
        </w:rPr>
      </w:pPr>
      <w:r>
        <w:rPr>
          <w:rFonts w:cs="Arial" w:ascii="Arial" w:hAnsi="Arial"/>
          <w:b/>
          <w:sz w:val="24"/>
          <w:lang w:eastAsia="en-US"/>
        </w:rPr>
        <w:t xml:space="preserve">Canyon Express Project </w:t>
      </w:r>
      <w:r>
        <w:rPr>
          <w:rFonts w:cs="Arial" w:ascii="Arial" w:hAnsi="Arial"/>
          <w:sz w:val="24"/>
          <w:lang w:eastAsia="en-US"/>
        </w:rPr>
        <w:t xml:space="preserve"> - Meeting Wednesday to finalize Construction Management Agreement and Joint Operating Agreement, which are scheduled to be executed May 31.</w:t>
      </w:r>
    </w:p>
    <w:p>
      <w:pPr>
        <w:pStyle w:val="Normal"/>
        <w:keepNext w:val="true"/>
        <w:ind w:start="720" w:end="0"/>
        <w:jc w:val="both"/>
        <w:rPr>
          <w:rFonts w:ascii="Arial" w:hAnsi="Arial" w:cs="Arial"/>
          <w:sz w:val="24"/>
          <w:lang w:eastAsia="en-US"/>
        </w:rPr>
      </w:pPr>
      <w:r>
        <w:rPr>
          <w:rFonts w:cs="Arial" w:ascii="Arial" w:hAnsi="Arial"/>
          <w:sz w:val="24"/>
          <w:lang w:eastAsia="en-US"/>
        </w:rPr>
      </w:r>
    </w:p>
    <w:p>
      <w:pPr>
        <w:pStyle w:val="Normal"/>
        <w:numPr>
          <w:ilvl w:val="1"/>
          <w:numId w:val="11"/>
        </w:numPr>
        <w:jc w:val="both"/>
        <w:rPr>
          <w:rFonts w:ascii="Arial" w:hAnsi="Arial" w:cs="Arial"/>
          <w:sz w:val="24"/>
          <w:lang w:eastAsia="en-US"/>
        </w:rPr>
      </w:pPr>
      <w:r>
        <w:rPr>
          <w:rFonts w:cs="Arial" w:ascii="Arial" w:hAnsi="Arial"/>
          <w:b/>
          <w:sz w:val="24"/>
          <w:lang w:eastAsia="en-US"/>
        </w:rPr>
        <w:t>Dulcimer Litigation</w:t>
      </w:r>
      <w:r>
        <w:rPr>
          <w:rFonts w:cs="Arial" w:ascii="Arial" w:hAnsi="Arial"/>
          <w:sz w:val="24"/>
          <w:lang w:eastAsia="en-US"/>
        </w:rPr>
        <w:t xml:space="preserve"> – Co-working interest owners and their underwriters to meet at Mariner’s office on June 26 and 27 to agree on total damages to be claimed and how they will be shared.  Plaintiffs and defendants will participate in a mediation conference on July 24 and 25. </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11"/>
        </w:numPr>
        <w:jc w:val="both"/>
        <w:rPr>
          <w:rFonts w:ascii="Arial" w:hAnsi="Arial" w:cs="Arial"/>
          <w:sz w:val="24"/>
          <w:lang w:eastAsia="en-US"/>
        </w:rPr>
      </w:pPr>
      <w:r>
        <w:rPr>
          <w:rFonts w:cs="Arial" w:ascii="Arial" w:hAnsi="Arial"/>
          <w:b/>
          <w:sz w:val="24"/>
          <w:lang w:eastAsia="en-US"/>
        </w:rPr>
        <w:t>Seismic Acquisitions</w:t>
      </w:r>
      <w:r>
        <w:rPr>
          <w:rFonts w:cs="Arial" w:ascii="Arial" w:hAnsi="Arial"/>
          <w:sz w:val="24"/>
          <w:lang w:eastAsia="en-US"/>
        </w:rPr>
        <w:t xml:space="preserve"> – Recently received counterproposal from TGS -- currently evaluating – response to TGS to be sent this week. </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11"/>
        </w:numPr>
        <w:jc w:val="both"/>
        <w:rPr>
          <w:rFonts w:ascii="Arial" w:hAnsi="Arial" w:cs="Arial"/>
          <w:sz w:val="24"/>
        </w:rPr>
      </w:pPr>
      <w:r>
        <w:rPr>
          <w:rFonts w:cs="Arial" w:ascii="Arial" w:hAnsi="Arial"/>
          <w:b/>
          <w:sz w:val="24"/>
          <w:lang w:eastAsia="en-US"/>
        </w:rPr>
        <w:t xml:space="preserve">Millenium Drillship/Yosemite Prospect </w:t>
      </w:r>
      <w:r>
        <w:rPr>
          <w:rFonts w:cs="Arial" w:ascii="Arial" w:hAnsi="Arial"/>
          <w:sz w:val="24"/>
          <w:lang w:eastAsia="en-US"/>
        </w:rPr>
        <w:t xml:space="preserve"> - On May 25, amended agreements with Burlington relating to drillship in order to add additional supply boat owned by Edison Choest. </w:t>
      </w:r>
    </w:p>
    <w:p>
      <w:pPr>
        <w:pStyle w:val="Normal"/>
        <w:jc w:val="both"/>
        <w:rPr>
          <w:rFonts w:ascii="Arial" w:hAnsi="Arial" w:cs="Arial"/>
          <w:sz w:val="24"/>
        </w:rPr>
      </w:pPr>
      <w:r>
        <w:rPr>
          <w:rFonts w:cs="Arial" w:ascii="Arial" w:hAnsi="Arial"/>
          <w:sz w:val="24"/>
        </w:rPr>
      </w:r>
    </w:p>
    <w:p>
      <w:pPr>
        <w:pStyle w:val="Normal"/>
        <w:numPr>
          <w:ilvl w:val="1"/>
          <w:numId w:val="11"/>
        </w:numPr>
        <w:jc w:val="both"/>
        <w:rPr>
          <w:rFonts w:ascii="Arial" w:hAnsi="Arial" w:cs="Arial"/>
          <w:sz w:val="24"/>
        </w:rPr>
      </w:pPr>
      <w:r>
        <w:rPr>
          <w:rFonts w:cs="Arial" w:ascii="Arial" w:hAnsi="Arial"/>
          <w:b/>
          <w:sz w:val="24"/>
          <w:lang w:eastAsia="en-US"/>
        </w:rPr>
        <w:t xml:space="preserve">Swordfish Prospect </w:t>
      </w:r>
      <w:r>
        <w:rPr>
          <w:rFonts w:cs="Arial" w:ascii="Arial" w:hAnsi="Arial"/>
          <w:sz w:val="24"/>
        </w:rPr>
        <w:t xml:space="preserve">– Farmouts, PHA and JOA being reviewed – comments on same to be sent with offer letter to BP June </w:t>
      </w:r>
    </w:p>
    <w:p>
      <w:pPr>
        <w:pStyle w:val="Normal"/>
        <w:jc w:val="both"/>
        <w:rPr>
          <w:rFonts w:ascii="Arial" w:hAnsi="Arial" w:cs="Arial"/>
          <w:sz w:val="24"/>
        </w:rPr>
      </w:pPr>
      <w:r>
        <w:rPr>
          <w:rFonts w:cs="Arial" w:ascii="Arial" w:hAnsi="Arial"/>
          <w:sz w:val="24"/>
        </w:rPr>
      </w:r>
    </w:p>
    <w:p>
      <w:pPr>
        <w:pStyle w:val="Normal"/>
        <w:numPr>
          <w:ilvl w:val="1"/>
          <w:numId w:val="11"/>
        </w:numPr>
        <w:jc w:val="both"/>
        <w:rPr>
          <w:rFonts w:ascii="Arial" w:hAnsi="Arial" w:cs="Arial"/>
          <w:sz w:val="24"/>
        </w:rPr>
      </w:pPr>
      <w:r>
        <w:rPr>
          <w:rFonts w:cs="Arial" w:ascii="Arial" w:hAnsi="Arial"/>
          <w:b/>
          <w:sz w:val="24"/>
        </w:rPr>
        <w:t>Joint Venture Agreements with Pioneer for Lease Sale Participation</w:t>
      </w:r>
      <w:r>
        <w:rPr>
          <w:rFonts w:cs="Arial" w:ascii="Arial" w:hAnsi="Arial"/>
          <w:sz w:val="24"/>
        </w:rPr>
        <w:t xml:space="preserve"> – Currently reviewing/revising agreements.  Expect to send drafts to Pioneer shortly. </w:t>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$26.50 - $25.25 effective May 24.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$25.25 - $25.50 effective May 29.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May 30 is $4.14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672" w:hRule="atLeast"/>
        </w:trPr>
        <w:tc>
          <w:tcPr>
            <w:tcW w:w="1305" w:type="dxa"/>
            <w:tcBorders>
              <w:top w:val="double" w:sz="4" w:space="0" w:color="000000"/>
              <w:start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Heading1"/>
              <w:ind w:hanging="0" w:start="0"/>
              <w:rPr>
                <w:b/>
              </w:rPr>
            </w:pPr>
            <w:r>
              <w:rPr>
                <w:b/>
              </w:rPr>
              <w:t>JULY</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NOV.</w:t>
            </w:r>
          </w:p>
          <w:p>
            <w:pPr>
              <w:pStyle w:val="Normal"/>
              <w:rPr>
                <w:rFonts w:ascii="Arial" w:hAnsi="Arial" w:cs="Arial"/>
                <w:b/>
                <w:sz w:val="24"/>
              </w:rPr>
            </w:pPr>
            <w:r>
              <w:rPr>
                <w:rFonts w:cs="Arial" w:ascii="Arial" w:hAnsi="Arial"/>
                <w:b/>
                <w:sz w:val="24"/>
              </w:rPr>
            </w:r>
          </w:p>
        </w:tc>
        <w:tc>
          <w:tcPr>
            <w:tcW w:w="1305" w:type="dxa"/>
            <w:tcBorders>
              <w:top w:val="double" w:sz="4" w:space="0" w:color="000000"/>
              <w:bottom w:val="double" w:sz="4" w:space="0" w:color="000000"/>
              <w:end w:val="double" w:sz="4" w:space="0" w:color="000000"/>
            </w:tcBorders>
            <w:shd w:fill="E5E5E5" w:val="clear"/>
          </w:tcPr>
          <w:p>
            <w:pPr>
              <w:pStyle w:val="Normal"/>
              <w:snapToGrid w:val="false"/>
              <w:jc w:val="both"/>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DEC.</w:t>
            </w:r>
          </w:p>
          <w:p>
            <w:pPr>
              <w:pStyle w:val="Normal"/>
              <w:rPr>
                <w:rFonts w:ascii="Arial" w:hAnsi="Arial" w:cs="Arial"/>
                <w:b/>
                <w:sz w:val="24"/>
              </w:rPr>
            </w:pPr>
            <w:r>
              <w:rPr>
                <w:rFonts w:cs="Arial" w:ascii="Arial" w:hAnsi="Arial"/>
                <w:b/>
                <w:sz w:val="24"/>
              </w:rPr>
            </w:r>
          </w:p>
        </w:tc>
      </w:tr>
      <w:tr>
        <w:trPr>
          <w:trHeight w:val="657" w:hRule="atLeast"/>
        </w:trPr>
        <w:tc>
          <w:tcPr>
            <w:tcW w:w="1305" w:type="dxa"/>
            <w:tcBorders>
              <w:start w:val="double" w:sz="4" w:space="0" w:color="000000"/>
              <w:bottom w:val="double" w:sz="4" w:space="0" w:color="000000"/>
              <w:end w:val="single" w:sz="4" w:space="0" w:color="000000"/>
            </w:tcBorders>
          </w:tcPr>
          <w:p>
            <w:pPr>
              <w:pStyle w:val="Normal"/>
              <w:snapToGrid w:val="false"/>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t>$3.98</w:t>
            </w:r>
          </w:p>
        </w:tc>
        <w:tc>
          <w:tcPr>
            <w:tcW w:w="1305" w:type="dxa"/>
            <w:tcBorders>
              <w:bottom w:val="doub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$4.06</w:t>
            </w:r>
          </w:p>
        </w:tc>
        <w:tc>
          <w:tcPr>
            <w:tcW w:w="1305" w:type="dxa"/>
            <w:tcBorders>
              <w:bottom w:val="double" w:sz="4" w:space="0" w:color="000000"/>
              <w:end w:val="single" w:sz="4" w:space="0" w:color="000000"/>
            </w:tcBorders>
          </w:tcPr>
          <w:p>
            <w:pPr>
              <w:pStyle w:val="Normal"/>
              <w:snapToGrid w:val="false"/>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$4.09</w:t>
            </w:r>
          </w:p>
        </w:tc>
        <w:tc>
          <w:tcPr>
            <w:tcW w:w="1305" w:type="dxa"/>
            <w:tcBorders>
              <w:bottom w:val="double" w:sz="4" w:space="0" w:color="000000"/>
              <w:end w:val="single" w:sz="4" w:space="0" w:color="000000"/>
            </w:tcBorders>
          </w:tcPr>
          <w:p>
            <w:pPr>
              <w:pStyle w:val="Normal"/>
              <w:snapToGrid w:val="false"/>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$4.12</w:t>
            </w:r>
          </w:p>
        </w:tc>
        <w:tc>
          <w:tcPr>
            <w:tcW w:w="1305" w:type="dxa"/>
            <w:tcBorders>
              <w:bottom w:val="double" w:sz="4" w:space="0" w:color="000000"/>
              <w:end w:val="single" w:sz="4" w:space="0" w:color="000000"/>
            </w:tcBorders>
          </w:tcPr>
          <w:p>
            <w:pPr>
              <w:pStyle w:val="Normal"/>
              <w:snapToGrid w:val="false"/>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$4.28</w:t>
            </w:r>
          </w:p>
        </w:tc>
        <w:tc>
          <w:tcPr>
            <w:tcW w:w="1305" w:type="dxa"/>
            <w:tcBorders>
              <w:bottom w:val="double" w:sz="4" w:space="0" w:color="000000"/>
              <w:end w:val="double" w:sz="4" w:space="0" w:color="000000"/>
            </w:tcBorders>
          </w:tcPr>
          <w:p>
            <w:pPr>
              <w:pStyle w:val="Normal"/>
              <w:snapToGrid w:val="false"/>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$4.45</w:t>
            </w:r>
          </w:p>
        </w:tc>
      </w:tr>
    </w:tbl>
    <w:p>
      <w:pPr>
        <w:pStyle w:val="Normal"/>
        <w:ind w:start="144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tabs>
          <w:tab w:val="clear" w:pos="720"/>
          <w:tab w:val="left" w:pos="1440" w:leader="none"/>
        </w:tabs>
        <w:ind w:start="720" w:end="0"/>
        <w:jc w:val="both"/>
        <w:rPr>
          <w:rFonts w:ascii="Arial" w:hAnsi="Arial" w:cs="Arial"/>
          <w:sz w:val="32"/>
          <w:lang w:eastAsia="en-US"/>
        </w:rPr>
      </w:pPr>
      <w:r>
        <w:rPr>
          <w:rFonts w:cs="Arial" w:ascii="Arial" w:hAnsi="Arial"/>
          <w:sz w:val="24"/>
          <w:lang w:eastAsia="en-US"/>
        </w:rPr>
        <w:t>6.1</w:t>
        <w:tab/>
      </w:r>
      <w:r>
        <w:rPr>
          <w:rFonts w:cs="Arial" w:ascii="Arial" w:hAnsi="Arial"/>
          <w:b/>
          <w:sz w:val="24"/>
          <w:lang w:eastAsia="en-US"/>
        </w:rPr>
        <w:t xml:space="preserve">Insurance </w:t>
      </w:r>
      <w:r>
        <w:rPr>
          <w:rFonts w:cs="Arial" w:ascii="Arial" w:hAnsi="Arial"/>
          <w:sz w:val="24"/>
          <w:lang w:eastAsia="en-US"/>
        </w:rPr>
        <w:t xml:space="preserve">– Awaiting final quotes for insurance renewals for June 1. </w:t>
      </w:r>
    </w:p>
    <w:p>
      <w:pPr>
        <w:pStyle w:val="Normal"/>
        <w:ind w:start="1080" w:end="0"/>
        <w:jc w:val="both"/>
        <w:rPr>
          <w:rFonts w:ascii="Arial" w:hAnsi="Arial" w:cs="Arial"/>
          <w:sz w:val="32"/>
          <w:lang w:eastAsia="en-US"/>
        </w:rPr>
      </w:pPr>
      <w:r>
        <w:rPr>
          <w:rFonts w:cs="Arial" w:ascii="Arial" w:hAnsi="Arial"/>
          <w:sz w:val="32"/>
          <w:lang w:eastAsia="en-US"/>
        </w:rPr>
      </w:r>
    </w:p>
    <w:p>
      <w:pPr>
        <w:pStyle w:val="Normal"/>
        <w:ind w:start="1440" w:end="0"/>
        <w:jc w:val="both"/>
        <w:rPr>
          <w:rFonts w:ascii="Arial" w:hAnsi="Arial" w:cs="Arial"/>
          <w:sz w:val="24"/>
          <w:lang w:eastAsia="en-US"/>
        </w:rPr>
      </w:pPr>
      <w:r>
        <w:rPr>
          <w:rFonts w:cs="Arial" w:ascii="Arial" w:hAnsi="Arial"/>
          <w:sz w:val="24"/>
          <w:lang w:eastAsia="en-US"/>
        </w:rPr>
        <w:t>Adjustors have approved and forwarded final summary of claim to underwriters to finalize the Pluto tree builders risk claims.  Continue to gather invoices on umbilical claim.  Will meet and review invoices with adjustors next week.</w:t>
      </w:r>
    </w:p>
    <w:p>
      <w:pPr>
        <w:pStyle w:val="Normal"/>
        <w:ind w:start="1440" w:end="0"/>
        <w:jc w:val="both"/>
        <w:rPr>
          <w:rFonts w:ascii="Arial" w:hAnsi="Arial" w:eastAsia="Arial" w:cs="Arial"/>
          <w:sz w:val="24"/>
          <w:lang w:eastAsia="en-US"/>
        </w:rPr>
      </w:pPr>
      <w:r>
        <w:rPr>
          <w:rFonts w:eastAsia="Arial" w:cs="Arial" w:ascii="Arial" w:hAnsi="Arial"/>
          <w:sz w:val="24"/>
          <w:lang w:eastAsia="en-US"/>
        </w:rPr>
        <w:t xml:space="preserve"> </w:t>
      </w:r>
    </w:p>
    <w:p>
      <w:pPr>
        <w:pStyle w:val="Normal"/>
        <w:ind w:start="1440" w:end="0"/>
        <w:jc w:val="both"/>
        <w:rPr>
          <w:rFonts w:ascii="Arial" w:hAnsi="Arial" w:cs="Arial"/>
          <w:sz w:val="24"/>
          <w:lang w:eastAsia="en-US"/>
        </w:rPr>
      </w:pPr>
      <w:r>
        <w:rPr>
          <w:rFonts w:cs="Arial" w:ascii="Arial" w:hAnsi="Arial"/>
          <w:sz w:val="24"/>
          <w:lang w:eastAsia="en-US"/>
        </w:rPr>
        <w:t>Continue to meet with adjustors to discuss Falcon underground blow-out claim.  Gathering required information to forward to adjustors.</w:t>
      </w:r>
      <w:r>
        <w:br w:type="page"/>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Fcst.</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$25.00</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$6.46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$5.20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$3.93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$6.64</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$3.11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$5.20</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8,596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8,100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60.3</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56.9</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62.2</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66.0</w:t>
            </w:r>
          </w:p>
        </w:tc>
      </w:tr>
    </w:tbl>
    <w:p>
      <w:pPr>
        <w:pStyle w:val="Normal"/>
        <w:jc w:val="both"/>
        <w:rPr/>
      </w:pPr>
      <w:r>
        <w:rPr/>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/mnt/main-storage/datasets/enron-docs/doc/5_31_01.doc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/mnt/main-storage/datasets/enron-docs/doc/5_31_01.doc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May 31,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3"/>
      <w:numFmt w:val="upperLetter"/>
      <w:lvlText w:val="%1."/>
      <w:lvlJc w:val="start"/>
      <w:pPr>
        <w:tabs>
          <w:tab w:val="num" w:pos="450"/>
        </w:tabs>
        <w:ind w:start="450" w:hanging="450"/>
      </w:pPr>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2"/>
      <w:numFmt w:val="lowerLetter"/>
      <w:lvlText w:val="%1."/>
      <w:lvlJc w:val="start"/>
      <w:pPr>
        <w:tabs>
          <w:tab w:val="num" w:pos="1800"/>
        </w:tabs>
        <w:ind w:start="1800" w:hanging="360"/>
      </w:pPr>
      <w:rPr/>
    </w:lvl>
  </w:abstractNum>
  <w:abstractNum w:abstractNumId="10">
    <w:lvl w:ilvl="0">
      <w:start w:val="3"/>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u w:val="none"/>
    </w:rPr>
  </w:style>
  <w:style w:type="character" w:styleId="WW8Num31z1">
    <w:name w:val="WW8Num31z1"/>
    <w:qFormat/>
    <w:rPr>
      <w:b w:val="false"/>
      <w:u w:val="none"/>
    </w:rPr>
  </w:style>
  <w:style w:type="character" w:styleId="WW8Num32z0">
    <w:name w:val="WW8Num32z0"/>
    <w:qFormat/>
    <w:rPr>
      <w:rFonts w:ascii="Times New Roman" w:hAnsi="Times New Roman" w:cs="Times New Roman"/>
      <w:sz w:val="20"/>
    </w:rPr>
  </w:style>
  <w:style w:type="character" w:styleId="WW8Num33z0">
    <w:name w:val="WW8Num33z0"/>
    <w:qFormat/>
    <w:rPr>
      <w:b w:val="false"/>
      <w:u w:val="none"/>
    </w:rPr>
  </w:style>
  <w:style w:type="character" w:styleId="WW8Num34z0">
    <w:name w:val="WW8Num34z0"/>
    <w:qFormat/>
    <w:rPr>
      <w:b w:val="false"/>
      <w:u w:val="none"/>
    </w:rPr>
  </w:style>
  <w:style w:type="character" w:styleId="WW8Num35z0">
    <w:name w:val="WW8Num35z0"/>
    <w:qFormat/>
    <w:rPr>
      <w:rFonts w:ascii="Times New Roman" w:hAnsi="Times New Roman" w:cs="Times New Roman"/>
      <w:sz w:val="28"/>
    </w:rPr>
  </w:style>
  <w:style w:type="character" w:styleId="WW8Num36z0">
    <w:name w:val="WW8Num36z0"/>
    <w:qFormat/>
    <w:rPr/>
  </w:style>
  <w:style w:type="character" w:styleId="WW8Num37z0">
    <w:name w:val="WW8Num37z0"/>
    <w:qFormat/>
    <w:rPr>
      <w:rFonts w:ascii="Arial" w:hAnsi="Arial" w:cs="Arial"/>
      <w:sz w:val="24"/>
    </w:rPr>
  </w:style>
  <w:style w:type="character" w:styleId="WW8Num38z0">
    <w:name w:val="WW8Num38z0"/>
    <w:qFormat/>
    <w:rPr>
      <w:sz w:val="28"/>
    </w:rPr>
  </w:style>
  <w:style w:type="character" w:styleId="WW8Num38z1">
    <w:name w:val="WW8Num38z1"/>
    <w:qFormat/>
    <w:rPr>
      <w:b w:val="false"/>
    </w:rPr>
  </w:style>
  <w:style w:type="character" w:styleId="WW8Num39z0">
    <w:name w:val="WW8Num39z0"/>
    <w:qFormat/>
    <w:rPr/>
  </w:style>
  <w:style w:type="character" w:styleId="WW8Num40z0">
    <w:name w:val="WW8Num40z0"/>
    <w:qFormat/>
    <w:rPr>
      <w:b/>
    </w:rPr>
  </w:style>
  <w:style w:type="character" w:styleId="WW8Num41z0">
    <w:name w:val="WW8Num41z0"/>
    <w:qFormat/>
    <w:rPr>
      <w:sz w:val="28"/>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sz w:val="28"/>
    </w:rPr>
  </w:style>
  <w:style w:type="character" w:styleId="WW8Num45z0">
    <w:name w:val="WW8Num45z0"/>
    <w:qFormat/>
    <w:rPr/>
  </w:style>
  <w:style w:type="character" w:styleId="WW8Num46z0">
    <w:name w:val="WW8Num46z0"/>
    <w:qFormat/>
    <w:rPr>
      <w:b w:val="false"/>
      <w:i w:val="false"/>
      <w:u w:val="none"/>
    </w:rPr>
  </w:style>
  <w:style w:type="character" w:styleId="WW8Num46z1">
    <w:name w:val="WW8Num46z1"/>
    <w:qFormat/>
    <w:rPr>
      <w:b w:val="false"/>
      <w:u w:val="none"/>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val="false"/>
    </w:rPr>
  </w:style>
  <w:style w:type="character" w:styleId="WW8Num54z0">
    <w:name w:val="WW8Num54z0"/>
    <w:qFormat/>
    <w:rPr/>
  </w:style>
  <w:style w:type="character" w:styleId="WW8Num55z0">
    <w:name w:val="WW8Num55z0"/>
    <w:qFormat/>
    <w:rPr/>
  </w:style>
  <w:style w:type="character" w:styleId="WW8Num56z0">
    <w:name w:val="WW8Num56z0"/>
    <w:qFormat/>
    <w:rPr>
      <w:b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val="false"/>
    </w:rPr>
  </w:style>
  <w:style w:type="character" w:styleId="WW8Num61z0">
    <w:name w:val="WW8Num61z0"/>
    <w:qFormat/>
    <w:rPr>
      <w:b w:val="false"/>
      <w:u w:val="none"/>
    </w:rPr>
  </w:style>
  <w:style w:type="character" w:styleId="WW8Num62z0">
    <w:name w:val="WW8Num62z0"/>
    <w:qFormat/>
    <w:rPr/>
  </w:style>
  <w:style w:type="character" w:styleId="WW8Num63z0">
    <w:name w:val="WW8Num63z0"/>
    <w:qFormat/>
    <w:rPr>
      <w:rFonts w:ascii="Times New Roman" w:hAnsi="Times New Roman" w:cs="Times New Roman"/>
      <w:sz w:val="20"/>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z w:val="28"/>
    </w:rPr>
  </w:style>
  <w:style w:type="character" w:styleId="WW8Num72z0">
    <w:name w:val="WW8Num72z0"/>
    <w:qFormat/>
    <w:rPr>
      <w:rFonts w:ascii="Arial" w:hAnsi="Arial" w:cs="Arial"/>
    </w:rPr>
  </w:style>
  <w:style w:type="character" w:styleId="WW8Num73z0">
    <w:name w:val="WW8Num73z0"/>
    <w:qFormat/>
    <w:rPr/>
  </w:style>
  <w:style w:type="character" w:styleId="WW8Num74z0">
    <w:name w:val="WW8Num74z0"/>
    <w:qFormat/>
    <w:rPr/>
  </w:style>
  <w:style w:type="character" w:styleId="WW8Num76z0">
    <w:name w:val="WW8Num76z0"/>
    <w:qFormat/>
    <w:rPr>
      <w:b/>
    </w:rPr>
  </w:style>
  <w:style w:type="character" w:styleId="WW8Num77z0">
    <w:name w:val="WW8Num77z0"/>
    <w:qFormat/>
    <w:rPr/>
  </w:style>
  <w:style w:type="character" w:styleId="WW8Num78z0">
    <w:name w:val="WW8Num78z0"/>
    <w:qFormat/>
    <w:rPr>
      <w:b w:val="false"/>
    </w:rPr>
  </w:style>
  <w:style w:type="character" w:styleId="WW8Num78z1">
    <w:name w:val="WW8Num78z1"/>
    <w:qFormat/>
    <w:rPr/>
  </w:style>
  <w:style w:type="character" w:styleId="WW8Num79z0">
    <w:name w:val="WW8Num79z0"/>
    <w:qFormat/>
    <w:rPr>
      <w:rFonts w:ascii="Arial" w:hAnsi="Arial" w:cs="Arial"/>
      <w:sz w:val="28"/>
    </w:rPr>
  </w:style>
  <w:style w:type="character" w:styleId="WW8Num80z0">
    <w:name w:val="WW8Num80z0"/>
    <w:qFormat/>
    <w:rPr>
      <w:sz w:val="28"/>
    </w:rPr>
  </w:style>
  <w:style w:type="character" w:styleId="WW8Num81z0">
    <w:name w:val="WW8Num81z0"/>
    <w:qFormat/>
    <w:rPr/>
  </w:style>
  <w:style w:type="character" w:styleId="WW8Num82z0">
    <w:name w:val="WW8Num82z0"/>
    <w:qFormat/>
    <w:rPr/>
  </w:style>
  <w:style w:type="character" w:styleId="WW8Num83z0">
    <w:name w:val="WW8Num83z0"/>
    <w:qFormat/>
    <w:rPr>
      <w:rFonts w:ascii="Arial" w:hAnsi="Arial" w:cs="Arial"/>
    </w:rPr>
  </w:style>
  <w:style w:type="character" w:styleId="WW8Num84z0">
    <w:name w:val="WW8Num84z0"/>
    <w:qFormat/>
    <w:rPr>
      <w:b/>
    </w:rPr>
  </w:style>
  <w:style w:type="character" w:styleId="WW8Num86z0">
    <w:name w:val="WW8Num86z0"/>
    <w:qFormat/>
    <w:rPr>
      <w:b w:val="false"/>
      <w:u w:val="none"/>
    </w:rPr>
  </w:style>
  <w:style w:type="character" w:styleId="WW8Num87z0">
    <w:name w:val="WW8Num87z0"/>
    <w:qFormat/>
    <w:rPr/>
  </w:style>
  <w:style w:type="character" w:styleId="WW8Num88z0">
    <w:name w:val="WW8Num88z0"/>
    <w:qFormat/>
    <w:rPr/>
  </w:style>
  <w:style w:type="character" w:styleId="WW8Num89z0">
    <w:name w:val="WW8Num89z0"/>
    <w:qFormat/>
    <w:rPr>
      <w:b w:val="false"/>
      <w:i w:val="false"/>
      <w:u w:val="none"/>
    </w:rPr>
  </w:style>
  <w:style w:type="character" w:styleId="WW8Num89z1">
    <w:name w:val="WW8Num89z1"/>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z w:val="24"/>
    </w:rPr>
  </w:style>
  <w:style w:type="character" w:styleId="WW8Num94z0">
    <w:name w:val="WW8Num94z0"/>
    <w:qFormat/>
    <w:rPr>
      <w:b w:val="false"/>
      <w:i w:val="false"/>
      <w:u w:val="none"/>
    </w:rPr>
  </w:style>
  <w:style w:type="character" w:styleId="WW8Num95z0">
    <w:name w:val="WW8Num95z0"/>
    <w:qFormat/>
    <w:rPr>
      <w:rFonts w:ascii="Arial" w:hAnsi="Arial" w:cs="Arial"/>
      <w:b/>
    </w:rPr>
  </w:style>
  <w:style w:type="character" w:styleId="WW8Num96z0">
    <w:name w:val="WW8Num96z0"/>
    <w:qFormat/>
    <w:rPr>
      <w:sz w:val="26"/>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rFonts w:ascii="Arial" w:hAnsi="Arial" w:cs="Arial"/>
      <w:sz w:val="28"/>
    </w:rPr>
  </w:style>
  <w:style w:type="character" w:styleId="WW8Num101z0">
    <w:name w:val="WW8Num101z0"/>
    <w:qFormat/>
    <w:rPr>
      <w:rFonts w:ascii="Arial" w:hAnsi="Arial" w:cs="Aria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b w:val="false"/>
      <w:sz w:val="28"/>
    </w:rPr>
  </w:style>
  <w:style w:type="character" w:styleId="WW8Num107z0">
    <w:name w:val="WW8Num107z0"/>
    <w:qFormat/>
    <w:rPr>
      <w:b w:val="false"/>
      <w:u w:val="none"/>
    </w:rPr>
  </w:style>
  <w:style w:type="character" w:styleId="WW8Num108z0">
    <w:name w:val="WW8Num108z0"/>
    <w:qFormat/>
    <w:rPr>
      <w:rFonts w:ascii="Arial" w:hAnsi="Arial" w:cs="Arial"/>
      <w:sz w:val="24"/>
    </w:rPr>
  </w:style>
  <w:style w:type="character" w:styleId="WW8Num109z0">
    <w:name w:val="WW8Num109z0"/>
    <w:qFormat/>
    <w:rPr/>
  </w:style>
  <w:style w:type="character" w:styleId="WW8Num110z0">
    <w:name w:val="WW8Num110z0"/>
    <w:qFormat/>
    <w:rPr>
      <w:b w:val="false"/>
      <w:u w:val="none"/>
    </w:rPr>
  </w:style>
  <w:style w:type="character" w:styleId="WW8Num111z0">
    <w:name w:val="WW8Num111z0"/>
    <w:qFormat/>
    <w:rPr/>
  </w:style>
  <w:style w:type="character" w:styleId="WW8Num112z0">
    <w:name w:val="WW8Num112z0"/>
    <w:qFormat/>
    <w:rPr>
      <w:b w:val="false"/>
      <w:i w:val="false"/>
      <w:u w:val="none"/>
    </w:rPr>
  </w:style>
  <w:style w:type="character" w:styleId="WW8Num112z1">
    <w:name w:val="WW8Num112z1"/>
    <w:qFormat/>
    <w:rPr>
      <w:b w:val="false"/>
      <w:u w:val="none"/>
    </w:rPr>
  </w:style>
  <w:style w:type="character" w:styleId="WW8Num113z0">
    <w:name w:val="WW8Num113z0"/>
    <w:qFormat/>
    <w:rPr>
      <w:rFonts w:ascii="Arial" w:hAnsi="Arial" w:cs="Arial"/>
      <w:b w:val="false"/>
      <w:sz w:val="24"/>
    </w:rPr>
  </w:style>
  <w:style w:type="character" w:styleId="WW8Num114z0">
    <w:name w:val="WW8Num114z0"/>
    <w:qFormat/>
    <w:rPr>
      <w:b w:val="false"/>
      <w:u w:val="none"/>
    </w:rPr>
  </w:style>
  <w:style w:type="character" w:styleId="WW8Num115z0">
    <w:name w:val="WW8Num115z0"/>
    <w:qFormat/>
    <w:rPr/>
  </w:style>
  <w:style w:type="character" w:styleId="WW8Num116z0">
    <w:name w:val="WW8Num116z0"/>
    <w:qFormat/>
    <w:rPr/>
  </w:style>
  <w:style w:type="character" w:styleId="WW8Num118z0">
    <w:name w:val="WW8Num118z0"/>
    <w:qFormat/>
    <w:rPr>
      <w:rFonts w:ascii="Arial" w:hAnsi="Arial" w:cs="Arial"/>
      <w:b w:val="false"/>
      <w:i w:val="false"/>
      <w:sz w:val="28"/>
    </w:rPr>
  </w:style>
  <w:style w:type="character" w:styleId="WW8Num119z0">
    <w:name w:val="WW8Num119z0"/>
    <w:qFormat/>
    <w:rPr/>
  </w:style>
  <w:style w:type="character" w:styleId="WW8Num120z0">
    <w:name w:val="WW8Num120z0"/>
    <w:qFormat/>
    <w:rPr/>
  </w:style>
  <w:style w:type="character" w:styleId="WW8Num121z0">
    <w:name w:val="WW8Num121z0"/>
    <w:qFormat/>
    <w:rPr>
      <w:rFonts w:ascii="Arial" w:hAnsi="Arial" w:cs="Arial"/>
    </w:rPr>
  </w:style>
  <w:style w:type="character" w:styleId="WW8Num122z0">
    <w:name w:val="WW8Num122z0"/>
    <w:qFormat/>
    <w:rPr>
      <w:b/>
    </w:rPr>
  </w:style>
  <w:style w:type="character" w:styleId="WW8Num123z0">
    <w:name w:val="WW8Num123z0"/>
    <w:qFormat/>
    <w:rPr/>
  </w:style>
  <w:style w:type="character" w:styleId="WW8Num124z0">
    <w:name w:val="WW8Num124z0"/>
    <w:qFormat/>
    <w:rPr>
      <w:sz w:val="28"/>
    </w:rPr>
  </w:style>
  <w:style w:type="character" w:styleId="WW8Num124z1">
    <w:name w:val="WW8Num124z1"/>
    <w:qFormat/>
    <w:rPr/>
  </w:style>
  <w:style w:type="character" w:styleId="WW8Num125z0">
    <w:name w:val="WW8Num125z0"/>
    <w:qFormat/>
    <w:rPr>
      <w:i/>
    </w:rPr>
  </w:style>
  <w:style w:type="character" w:styleId="WW8Num125z1">
    <w:name w:val="WW8Num125z1"/>
    <w:qFormat/>
    <w:rPr/>
  </w:style>
  <w:style w:type="character" w:styleId="WW8Num126z0">
    <w:name w:val="WW8Num126z0"/>
    <w:qFormat/>
    <w:rPr>
      <w:b w:val="false"/>
      <w:u w:val="none"/>
    </w:rPr>
  </w:style>
  <w:style w:type="character" w:styleId="WW8Num127z0">
    <w:name w:val="WW8Num127z0"/>
    <w:qFormat/>
    <w:rPr/>
  </w:style>
  <w:style w:type="character" w:styleId="WW8Num128z0">
    <w:name w:val="WW8Num128z0"/>
    <w:qFormat/>
    <w:rPr>
      <w:sz w:val="28"/>
    </w:rPr>
  </w:style>
  <w:style w:type="character" w:styleId="WW8Num128z1">
    <w:name w:val="WW8Num128z1"/>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Arial" w:hAnsi="Arial" w:cs="Arial"/>
    </w:rPr>
  </w:style>
  <w:style w:type="character" w:styleId="WW8Num132z0">
    <w:name w:val="WW8Num132z0"/>
    <w:qFormat/>
    <w:rPr/>
  </w:style>
  <w:style w:type="character" w:styleId="WW8Num133z0">
    <w:name w:val="WW8Num133z0"/>
    <w:qFormat/>
    <w:rPr/>
  </w:style>
  <w:style w:type="character" w:styleId="WW8Num134z0">
    <w:name w:val="WW8Num134z0"/>
    <w:qFormat/>
    <w:rPr>
      <w:b w:val="false"/>
    </w:rPr>
  </w:style>
  <w:style w:type="character" w:styleId="WW8Num135z0">
    <w:name w:val="WW8Num135z0"/>
    <w:qFormat/>
    <w:rPr>
      <w:b w:val="false"/>
    </w:rPr>
  </w:style>
  <w:style w:type="character" w:styleId="WW8Num136z0">
    <w:name w:val="WW8Num136z0"/>
    <w:qFormat/>
    <w:rPr>
      <w:b w:val="false"/>
      <w:i w:val="false"/>
      <w:u w:val="none"/>
    </w:rPr>
  </w:style>
  <w:style w:type="character" w:styleId="WW8Num136z1">
    <w:name w:val="WW8Num136z1"/>
    <w:qFormat/>
    <w:rPr/>
  </w:style>
  <w:style w:type="character" w:styleId="WW8Num137z0">
    <w:name w:val="WW8Num137z0"/>
    <w:qFormat/>
    <w:rPr>
      <w:b/>
      <w:sz w:val="28"/>
    </w:rPr>
  </w:style>
  <w:style w:type="character" w:styleId="WW8Num138z0">
    <w:name w:val="WW8Num138z0"/>
    <w:qFormat/>
    <w:rPr>
      <w:sz w:val="28"/>
    </w:rPr>
  </w:style>
  <w:style w:type="character" w:styleId="WW8Num139z0">
    <w:name w:val="WW8Num139z0"/>
    <w:qFormat/>
    <w:rPr>
      <w:b/>
    </w:rPr>
  </w:style>
  <w:style w:type="character" w:styleId="WW8Num140z0">
    <w:name w:val="WW8Num140z0"/>
    <w:qFormat/>
    <w:rPr/>
  </w:style>
  <w:style w:type="character" w:styleId="WW8Num141z0">
    <w:name w:val="WW8Num141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b w:val="false"/>
      <w:u w:val="none"/>
    </w:rPr>
  </w:style>
  <w:style w:type="character" w:styleId="WW8Num149z1">
    <w:name w:val="WW8Num149z1"/>
    <w:qFormat/>
    <w:rPr/>
  </w:style>
  <w:style w:type="character" w:styleId="WW8Num150z0">
    <w:name w:val="WW8Num150z0"/>
    <w:qFormat/>
    <w:rPr/>
  </w:style>
  <w:style w:type="character" w:styleId="WW8Num151z0">
    <w:name w:val="WW8Num151z0"/>
    <w:qFormat/>
    <w:rPr>
      <w:b/>
    </w:rPr>
  </w:style>
  <w:style w:type="character" w:styleId="WW8Num152z0">
    <w:name w:val="WW8Num152z0"/>
    <w:qFormat/>
    <w:rPr>
      <w:b w:val="false"/>
    </w:rPr>
  </w:style>
  <w:style w:type="character" w:styleId="WW8Num152z1">
    <w:name w:val="WW8Num152z1"/>
    <w:qFormat/>
    <w:rPr/>
  </w:style>
  <w:style w:type="character" w:styleId="WW8Num154z0">
    <w:name w:val="WW8Num154z0"/>
    <w:qFormat/>
    <w:rPr/>
  </w:style>
  <w:style w:type="character" w:styleId="WW8Num155z0">
    <w:name w:val="WW8Num155z0"/>
    <w:qFormat/>
    <w:rPr>
      <w:sz w:val="28"/>
    </w:rPr>
  </w:style>
  <w:style w:type="character" w:styleId="WW8Num156z0">
    <w:name w:val="WW8Num156z0"/>
    <w:qFormat/>
    <w:rPr>
      <w:b w:val="false"/>
      <w:u w:val="none"/>
    </w:rPr>
  </w:style>
  <w:style w:type="character" w:styleId="WW8Num158z0">
    <w:name w:val="WW8Num158z0"/>
    <w:qFormat/>
    <w:rPr>
      <w:rFonts w:ascii="Arial" w:hAnsi="Arial" w:cs="Arial"/>
      <w:sz w:val="26"/>
    </w:rPr>
  </w:style>
  <w:style w:type="character" w:styleId="WW8Num159z0">
    <w:name w:val="WW8Num159z0"/>
    <w:qFormat/>
    <w:rPr/>
  </w:style>
  <w:style w:type="character" w:styleId="WW8Num160z0">
    <w:name w:val="WW8Num160z0"/>
    <w:qFormat/>
    <w:rPr/>
  </w:style>
  <w:style w:type="character" w:styleId="WW8Num161z0">
    <w:name w:val="WW8Num161z0"/>
    <w:qFormat/>
    <w:rPr>
      <w:b w:val="false"/>
    </w:rPr>
  </w:style>
  <w:style w:type="character" w:styleId="WW8Num162z0">
    <w:name w:val="WW8Num162z0"/>
    <w:qFormat/>
    <w:rPr/>
  </w:style>
  <w:style w:type="character" w:styleId="WW8Num163z0">
    <w:name w:val="WW8Num163z0"/>
    <w:qFormat/>
    <w:rPr>
      <w:sz w:val="28"/>
    </w:rPr>
  </w:style>
  <w:style w:type="character" w:styleId="WW8Num164z0">
    <w:name w:val="WW8Num164z0"/>
    <w:qFormat/>
    <w:rPr>
      <w:b w:val="false"/>
    </w:rPr>
  </w:style>
  <w:style w:type="character" w:styleId="WW8Num164z1">
    <w:name w:val="WW8Num164z1"/>
    <w:qFormat/>
    <w:rPr/>
  </w:style>
  <w:style w:type="character" w:styleId="WW8Num165z0">
    <w:name w:val="WW8Num165z0"/>
    <w:qFormat/>
    <w:rPr>
      <w:b w:val="false"/>
      <w:i w:val="false"/>
      <w:u w:val="none"/>
    </w:rPr>
  </w:style>
  <w:style w:type="character" w:styleId="WW8Num165z1">
    <w:name w:val="WW8Num165z1"/>
    <w:qFormat/>
    <w:rPr>
      <w:b w:val="false"/>
      <w:u w:val="none"/>
    </w:rPr>
  </w:style>
  <w:style w:type="character" w:styleId="WW8Num166z0">
    <w:name w:val="WW8Num166z0"/>
    <w:qFormat/>
    <w:rPr>
      <w:rFonts w:ascii="Arial" w:hAnsi="Arial" w:cs="Arial"/>
      <w:b w:val="false"/>
      <w:sz w:val="24"/>
    </w:rPr>
  </w:style>
  <w:style w:type="character" w:styleId="WW8Num167z0">
    <w:name w:val="WW8Num167z0"/>
    <w:qFormat/>
    <w:rPr>
      <w:b w:val="false"/>
    </w:rPr>
  </w:style>
  <w:style w:type="character" w:styleId="WW8Num167z1">
    <w:name w:val="WW8Num167z1"/>
    <w:qFormat/>
    <w:rPr/>
  </w:style>
  <w:style w:type="character" w:styleId="WW8Num168z0">
    <w:name w:val="WW8Num168z0"/>
    <w:qFormat/>
    <w:rPr/>
  </w:style>
  <w:style w:type="character" w:styleId="WW8Num169z0">
    <w:name w:val="WW8Num169z0"/>
    <w:qFormat/>
    <w:rPr>
      <w:sz w:val="24"/>
    </w:rPr>
  </w:style>
  <w:style w:type="character" w:styleId="WW8Num171z0">
    <w:name w:val="WW8Num171z0"/>
    <w:qFormat/>
    <w:rPr>
      <w:b w:val="false"/>
      <w:i w:val="false"/>
      <w:u w:val="none"/>
    </w:rPr>
  </w:style>
  <w:style w:type="character" w:styleId="WW8Num172z0">
    <w:name w:val="WW8Num172z0"/>
    <w:qFormat/>
    <w:rPr>
      <w:b w:val="false"/>
    </w:rPr>
  </w:style>
  <w:style w:type="character" w:styleId="WW8Num173z0">
    <w:name w:val="WW8Num173z0"/>
    <w:qFormat/>
    <w:rPr>
      <w:sz w:val="26"/>
    </w:rPr>
  </w:style>
  <w:style w:type="character" w:styleId="WW8Num175z0">
    <w:name w:val="WW8Num175z0"/>
    <w:qFormat/>
    <w:rPr/>
  </w:style>
  <w:style w:type="character" w:styleId="WW8Num176z0">
    <w:name w:val="WW8Num176z0"/>
    <w:qFormat/>
    <w:rPr>
      <w:sz w:val="26"/>
    </w:rPr>
  </w:style>
  <w:style w:type="character" w:styleId="WW8Num177z0">
    <w:name w:val="WW8Num177z0"/>
    <w:qFormat/>
    <w:rPr/>
  </w:style>
  <w:style w:type="character" w:styleId="WW8Num178z0">
    <w:name w:val="WW8Num178z0"/>
    <w:qFormat/>
    <w:rPr>
      <w:b w:val="false"/>
      <w:u w:val="none"/>
    </w:rPr>
  </w:style>
  <w:style w:type="character" w:styleId="WW8Num179z0">
    <w:name w:val="WW8Num179z0"/>
    <w:qFormat/>
    <w:rPr>
      <w:rFonts w:ascii="Arial" w:hAnsi="Arial" w:cs="Arial"/>
      <w:sz w:val="28"/>
    </w:rPr>
  </w:style>
  <w:style w:type="character" w:styleId="WW8Num180z0">
    <w:name w:val="WW8Num180z0"/>
    <w:qFormat/>
    <w:rPr>
      <w:b/>
      <w:sz w:val="20"/>
    </w:rPr>
  </w:style>
  <w:style w:type="character" w:styleId="WW8Num181z0">
    <w:name w:val="WW8Num181z0"/>
    <w:qFormat/>
    <w:rPr>
      <w:b w:val="false"/>
      <w:u w:val="none"/>
    </w:rPr>
  </w:style>
  <w:style w:type="character" w:styleId="WW8Num182z0">
    <w:name w:val="WW8Num182z0"/>
    <w:qFormat/>
    <w:rPr/>
  </w:style>
  <w:style w:type="character" w:styleId="WW8Num183z0">
    <w:name w:val="WW8Num183z0"/>
    <w:qFormat/>
    <w:rPr>
      <w:b w:val="false"/>
    </w:rPr>
  </w:style>
  <w:style w:type="character" w:styleId="WW8Num183z1">
    <w:name w:val="WW8Num183z1"/>
    <w:qFormat/>
    <w:rPr/>
  </w:style>
  <w:style w:type="character" w:styleId="WW8Num184z0">
    <w:name w:val="WW8Num184z0"/>
    <w:qFormat/>
    <w:rPr/>
  </w:style>
  <w:style w:type="character" w:styleId="WW8Num185z0">
    <w:name w:val="WW8Num185z0"/>
    <w:qFormat/>
    <w:rPr/>
  </w:style>
  <w:style w:type="character" w:styleId="WW8Num186z0">
    <w:name w:val="WW8Num186z0"/>
    <w:qFormat/>
    <w:rPr>
      <w:rFonts w:ascii="Arial" w:hAnsi="Arial" w:cs="Arial"/>
      <w:b w:val="false"/>
      <w:sz w:val="28"/>
    </w:rPr>
  </w:style>
  <w:style w:type="character" w:styleId="WW8Num187z0">
    <w:name w:val="WW8Num187z0"/>
    <w:qFormat/>
    <w:rPr/>
  </w:style>
  <w:style w:type="character" w:styleId="WW8Num188z0">
    <w:name w:val="WW8Num188z0"/>
    <w:qFormat/>
    <w:rPr>
      <w:rFonts w:ascii="Arial" w:hAnsi="Arial" w:cs="Arial"/>
      <w:sz w:val="28"/>
    </w:rPr>
  </w:style>
  <w:style w:type="character" w:styleId="WW8Num188z1">
    <w:name w:val="WW8Num188z1"/>
    <w:qFormat/>
    <w:rPr/>
  </w:style>
  <w:style w:type="character" w:styleId="WW8Num189z0">
    <w:name w:val="WW8Num189z0"/>
    <w:qFormat/>
    <w:rPr>
      <w:rFonts w:ascii="Arial" w:hAnsi="Arial" w:cs="Arial"/>
      <w:sz w:val="28"/>
    </w:rPr>
  </w:style>
  <w:style w:type="character" w:styleId="WW8Num190z0">
    <w:name w:val="WW8Num190z0"/>
    <w:qFormat/>
    <w:rPr>
      <w:sz w:val="28"/>
    </w:rPr>
  </w:style>
  <w:style w:type="character" w:styleId="WW8Num191z0">
    <w:name w:val="WW8Num191z0"/>
    <w:qFormat/>
    <w:rPr/>
  </w:style>
  <w:style w:type="character" w:styleId="WW8Num192z0">
    <w:name w:val="WW8Num192z0"/>
    <w:qFormat/>
    <w:rPr>
      <w:b/>
    </w:rPr>
  </w:style>
  <w:style w:type="character" w:styleId="WW8Num193z0">
    <w:name w:val="WW8Num193z0"/>
    <w:qFormat/>
    <w:rPr>
      <w:sz w:val="28"/>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rFonts w:ascii="Arial" w:hAnsi="Arial" w:cs="Arial"/>
    </w:rPr>
  </w:style>
  <w:style w:type="character" w:styleId="WW8Num198z0">
    <w:name w:val="WW8Num198z0"/>
    <w:qFormat/>
    <w:rPr>
      <w:b w:val="false"/>
    </w:rPr>
  </w:style>
  <w:style w:type="character" w:styleId="WW8Num198z1">
    <w:name w:val="WW8Num198z1"/>
    <w:qFormat/>
    <w:rPr/>
  </w:style>
  <w:style w:type="character" w:styleId="WW8Num199z0">
    <w:name w:val="WW8Num199z0"/>
    <w:qFormat/>
    <w:rPr/>
  </w:style>
  <w:style w:type="character" w:styleId="WW8Num200z0">
    <w:name w:val="WW8Num200z0"/>
    <w:qFormat/>
    <w:rPr>
      <w:b w:val="false"/>
    </w:rPr>
  </w:style>
  <w:style w:type="character" w:styleId="WW8Num201z0">
    <w:name w:val="WW8Num201z0"/>
    <w:qFormat/>
    <w:rPr/>
  </w:style>
  <w:style w:type="character" w:styleId="WW8Num202z0">
    <w:name w:val="WW8Num202z0"/>
    <w:qFormat/>
    <w:rPr>
      <w:b w:val="false"/>
    </w:rPr>
  </w:style>
  <w:style w:type="character" w:styleId="WW8Num203z0">
    <w:name w:val="WW8Num203z0"/>
    <w:qFormat/>
    <w:rPr>
      <w:sz w:val="24"/>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b w:val="false"/>
    </w:rPr>
  </w:style>
  <w:style w:type="character" w:styleId="WW8Num208z0">
    <w:name w:val="WW8Num208z0"/>
    <w:qFormat/>
    <w:rPr>
      <w:b w:val="false"/>
      <w:sz w:val="24"/>
      <w:u w:val="none"/>
    </w:rPr>
  </w:style>
  <w:style w:type="character" w:styleId="WW8Num209z0">
    <w:name w:val="WW8Num209z0"/>
    <w:qFormat/>
    <w:rPr/>
  </w:style>
  <w:style w:type="character" w:styleId="WW8Num210z0">
    <w:name w:val="WW8Num210z0"/>
    <w:qFormat/>
    <w:rPr/>
  </w:style>
  <w:style w:type="character" w:styleId="WW8Num211z0">
    <w:name w:val="WW8Num211z0"/>
    <w:qFormat/>
    <w:rPr>
      <w:b w:val="false"/>
    </w:rPr>
  </w:style>
  <w:style w:type="character" w:styleId="WW8Num212z0">
    <w:name w:val="WW8Num212z0"/>
    <w:qFormat/>
    <w:rPr>
      <w:b/>
      <w:sz w:val="28"/>
    </w:rPr>
  </w:style>
  <w:style w:type="character" w:styleId="WW8Num213z0">
    <w:name w:val="WW8Num213z0"/>
    <w:qFormat/>
    <w:rPr/>
  </w:style>
  <w:style w:type="character" w:styleId="WW8Num214z0">
    <w:name w:val="WW8Num214z0"/>
    <w:qFormat/>
    <w:rPr/>
  </w:style>
  <w:style w:type="character" w:styleId="WW8Num215z0">
    <w:name w:val="WW8Num215z0"/>
    <w:qFormat/>
    <w:rPr>
      <w:rFonts w:ascii="Arial" w:hAnsi="Arial" w:cs="Arial"/>
      <w:sz w:val="24"/>
    </w:rPr>
  </w:style>
  <w:style w:type="character" w:styleId="WW8Num215z1">
    <w:name w:val="WW8Num215z1"/>
    <w:qFormat/>
    <w:rPr/>
  </w:style>
  <w:style w:type="character" w:styleId="WW8Num216z0">
    <w:name w:val="WW8Num216z0"/>
    <w:qFormat/>
    <w:rPr/>
  </w:style>
  <w:style w:type="character" w:styleId="WW8Num217z0">
    <w:name w:val="WW8Num217z0"/>
    <w:qFormat/>
    <w:rPr>
      <w:b w:val="false"/>
      <w:i w:val="false"/>
      <w:u w:val="none"/>
    </w:rPr>
  </w:style>
  <w:style w:type="character" w:styleId="WW8Num217z1">
    <w:name w:val="WW8Num217z1"/>
    <w:qFormat/>
    <w:rPr/>
  </w:style>
  <w:style w:type="character" w:styleId="WW8Num218z0">
    <w:name w:val="WW8Num218z0"/>
    <w:qFormat/>
    <w:rPr>
      <w:b w:val="false"/>
    </w:rPr>
  </w:style>
  <w:style w:type="character" w:styleId="WW8Num219z0">
    <w:name w:val="WW8Num219z0"/>
    <w:qFormat/>
    <w:rPr>
      <w:b w:val="false"/>
      <w:sz w:val="28"/>
    </w:rPr>
  </w:style>
  <w:style w:type="character" w:styleId="WW8Num219z1">
    <w:name w:val="WW8Num219z1"/>
    <w:qFormat/>
    <w:rPr/>
  </w:style>
  <w:style w:type="character" w:styleId="WW8Num220z0">
    <w:name w:val="WW8Num220z0"/>
    <w:qFormat/>
    <w:rPr/>
  </w:style>
  <w:style w:type="character" w:styleId="WW8Num221z0">
    <w:name w:val="WW8Num221z0"/>
    <w:qFormat/>
    <w:rPr/>
  </w:style>
  <w:style w:type="character" w:styleId="WW8Num222z1">
    <w:name w:val="WW8Num222z1"/>
    <w:qFormat/>
    <w:rPr/>
  </w:style>
  <w:style w:type="character" w:styleId="WW8Num223z0">
    <w:name w:val="WW8Num223z0"/>
    <w:qFormat/>
    <w:rPr/>
  </w:style>
  <w:style w:type="character" w:styleId="WW8Num224z0">
    <w:name w:val="WW8Num224z0"/>
    <w:qFormat/>
    <w:rPr>
      <w:b w:val="false"/>
    </w:rPr>
  </w:style>
  <w:style w:type="character" w:styleId="WW8Num224z1">
    <w:name w:val="WW8Num224z1"/>
    <w:qFormat/>
    <w:rPr/>
  </w:style>
  <w:style w:type="character" w:styleId="WW8Num225z0">
    <w:name w:val="WW8Num225z0"/>
    <w:qFormat/>
    <w:rPr>
      <w:sz w:val="28"/>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b w:val="false"/>
      <w:i w:val="false"/>
      <w:u w:val="none"/>
    </w:rPr>
  </w:style>
  <w:style w:type="character" w:styleId="WW8Num231z0">
    <w:name w:val="WW8Num231z0"/>
    <w:qFormat/>
    <w:rPr>
      <w:b w:val="false"/>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b w:val="false"/>
    </w:rPr>
  </w:style>
  <w:style w:type="character" w:styleId="WW8Num237z0">
    <w:name w:val="WW8Num237z0"/>
    <w:qFormat/>
    <w:rPr>
      <w:sz w:val="24"/>
    </w:rPr>
  </w:style>
  <w:style w:type="character" w:styleId="WW8Num238z0">
    <w:name w:val="WW8Num238z0"/>
    <w:qFormat/>
    <w:rPr>
      <w:b w:val="false"/>
      <w:u w:val="none"/>
    </w:rPr>
  </w:style>
  <w:style w:type="character" w:styleId="WW8Num239z0">
    <w:name w:val="WW8Num239z0"/>
    <w:qFormat/>
    <w:rPr/>
  </w:style>
  <w:style w:type="character" w:styleId="WW8Num240z0">
    <w:name w:val="WW8Num240z0"/>
    <w:qFormat/>
    <w:rPr/>
  </w:style>
  <w:style w:type="character" w:styleId="WW8Num241z0">
    <w:name w:val="WW8Num241z0"/>
    <w:qFormat/>
    <w:rPr>
      <w:b w:val="false"/>
      <w:i w:val="false"/>
      <w:u w:val="none"/>
    </w:rPr>
  </w:style>
  <w:style w:type="character" w:styleId="WW8Num242z0">
    <w:name w:val="WW8Num242z0"/>
    <w:qFormat/>
    <w:rPr>
      <w:b w:val="false"/>
      <w:u w:val="none"/>
    </w:rPr>
  </w:style>
  <w:style w:type="character" w:styleId="WW8Num243z0">
    <w:name w:val="WW8Num243z0"/>
    <w:qFormat/>
    <w:rPr>
      <w:b w:val="false"/>
    </w:rPr>
  </w:style>
  <w:style w:type="character" w:styleId="WW8Num243z1">
    <w:name w:val="WW8Num243z1"/>
    <w:qFormat/>
    <w:rPr/>
  </w:style>
  <w:style w:type="character" w:styleId="WW8Num244z0">
    <w:name w:val="WW8Num244z0"/>
    <w:qFormat/>
    <w:rPr/>
  </w:style>
  <w:style w:type="character" w:styleId="WW8Num245z0">
    <w:name w:val="WW8Num245z0"/>
    <w:qFormat/>
    <w:rPr>
      <w:rFonts w:ascii="Times New Roman" w:hAnsi="Times New Roman" w:cs="Times New Roman"/>
    </w:rPr>
  </w:style>
  <w:style w:type="character" w:styleId="WW8Num246z0">
    <w:name w:val="WW8Num246z0"/>
    <w:qFormat/>
    <w:rPr/>
  </w:style>
  <w:style w:type="character" w:styleId="WW8Num247z0">
    <w:name w:val="WW8Num247z0"/>
    <w:qFormat/>
    <w:rPr>
      <w:b w:val="false"/>
      <w:i w:val="false"/>
      <w:u w:val="none"/>
    </w:rPr>
  </w:style>
  <w:style w:type="character" w:styleId="WW8Num248z0">
    <w:name w:val="WW8Num248z0"/>
    <w:qFormat/>
    <w:rPr/>
  </w:style>
  <w:style w:type="character" w:styleId="WW8Num249z0">
    <w:name w:val="WW8Num249z0"/>
    <w:qFormat/>
    <w:rPr/>
  </w:style>
  <w:style w:type="character" w:styleId="WW8Num250z0">
    <w:name w:val="WW8Num250z0"/>
    <w:qFormat/>
    <w:rPr>
      <w:b w:val="false"/>
      <w:i w:val="false"/>
      <w:u w:val="none"/>
    </w:rPr>
  </w:style>
  <w:style w:type="character" w:styleId="WW8Num250z1">
    <w:name w:val="WW8Num250z1"/>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u w:val="none"/>
    </w:rPr>
  </w:style>
  <w:style w:type="character" w:styleId="WW8Num255z1">
    <w:name w:val="WW8Num255z1"/>
    <w:qFormat/>
    <w:rPr/>
  </w:style>
  <w:style w:type="character" w:styleId="WW8Num256z0">
    <w:name w:val="WW8Num256z0"/>
    <w:qFormat/>
    <w:rPr>
      <w:b w:val="false"/>
      <w:u w:val="none"/>
    </w:rPr>
  </w:style>
  <w:style w:type="character" w:styleId="WW8Num256z1">
    <w:name w:val="WW8Num256z1"/>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1z0">
    <w:name w:val="WW8Num261z0"/>
    <w:qFormat/>
    <w:rPr>
      <w:i/>
    </w:rPr>
  </w:style>
  <w:style w:type="character" w:styleId="WW8Num262z0">
    <w:name w:val="WW8Num262z0"/>
    <w:qFormat/>
    <w:rPr>
      <w:b w:val="false"/>
    </w:rPr>
  </w:style>
  <w:style w:type="character" w:styleId="WW8Num262z1">
    <w:name w:val="WW8Num262z1"/>
    <w:qFormat/>
    <w:rPr/>
  </w:style>
  <w:style w:type="character" w:styleId="WW8Num263z0">
    <w:name w:val="WW8Num263z0"/>
    <w:qFormat/>
    <w:rPr/>
  </w:style>
  <w:style w:type="character" w:styleId="WW8Num265z0">
    <w:name w:val="WW8Num265z0"/>
    <w:qFormat/>
    <w:rPr/>
  </w:style>
  <w:style w:type="character" w:styleId="WW8Num266z0">
    <w:name w:val="WW8Num266z0"/>
    <w:qFormat/>
    <w:rPr>
      <w:b w:val="false"/>
      <w:u w:val="none"/>
    </w:rPr>
  </w:style>
  <w:style w:type="character" w:styleId="WW8Num267z0">
    <w:name w:val="WW8Num267z0"/>
    <w:qFormat/>
    <w:rPr>
      <w:b w:val="false"/>
      <w:i w:val="false"/>
      <w:u w:val="none"/>
    </w:rPr>
  </w:style>
  <w:style w:type="character" w:styleId="WW8Num268z0">
    <w:name w:val="WW8Num268z0"/>
    <w:qFormat/>
    <w:rPr/>
  </w:style>
  <w:style w:type="character" w:styleId="WW8Num269z0">
    <w:name w:val="WW8Num269z0"/>
    <w:qFormat/>
    <w:rPr>
      <w:b/>
    </w:rPr>
  </w:style>
  <w:style w:type="character" w:styleId="WW8Num269z1">
    <w:name w:val="WW8Num269z1"/>
    <w:qFormat/>
    <w:rPr/>
  </w:style>
  <w:style w:type="character" w:styleId="WW8Num270z0">
    <w:name w:val="WW8Num270z0"/>
    <w:qFormat/>
    <w:rPr>
      <w:b w:val="false"/>
    </w:rPr>
  </w:style>
  <w:style w:type="character" w:styleId="WW8Num271z0">
    <w:name w:val="WW8Num271z0"/>
    <w:qFormat/>
    <w:rPr/>
  </w:style>
  <w:style w:type="character" w:styleId="WW8Num272z0">
    <w:name w:val="WW8Num272z0"/>
    <w:qFormat/>
    <w:rPr/>
  </w:style>
  <w:style w:type="character" w:styleId="WW8Num273z0">
    <w:name w:val="WW8Num273z0"/>
    <w:qFormat/>
    <w:rPr>
      <w:b/>
      <w:sz w:val="28"/>
    </w:rPr>
  </w:style>
  <w:style w:type="character" w:styleId="WW8Num274z0">
    <w:name w:val="WW8Num274z0"/>
    <w:qFormat/>
    <w:rPr>
      <w:b w:val="false"/>
    </w:rPr>
  </w:style>
  <w:style w:type="character" w:styleId="WW8Num275z0">
    <w:name w:val="WW8Num275z0"/>
    <w:qFormat/>
    <w:rPr/>
  </w:style>
  <w:style w:type="character" w:styleId="WW8Num276z0">
    <w:name w:val="WW8Num276z0"/>
    <w:qFormat/>
    <w:rPr>
      <w:b w:val="false"/>
    </w:rPr>
  </w:style>
  <w:style w:type="character" w:styleId="WW8Num277z0">
    <w:name w:val="WW8Num277z0"/>
    <w:qFormat/>
    <w:rPr/>
  </w:style>
  <w:style w:type="character" w:styleId="WW8Num278z0">
    <w:name w:val="WW8Num278z0"/>
    <w:qFormat/>
    <w:rPr>
      <w:b/>
    </w:rPr>
  </w:style>
  <w:style w:type="character" w:styleId="WW8Num279z0">
    <w:name w:val="WW8Num279z0"/>
    <w:qFormat/>
    <w:rPr>
      <w:rFonts w:ascii="Times New Roman" w:hAnsi="Times New Roman" w:cs="Times New Roman"/>
    </w:rPr>
  </w:style>
  <w:style w:type="character" w:styleId="WW8Num279z1">
    <w:name w:val="WW8Num279z1"/>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3z0">
    <w:name w:val="WW8Num283z0"/>
    <w:qFormat/>
    <w:rPr>
      <w:b w:val="false"/>
    </w:rPr>
  </w:style>
  <w:style w:type="character" w:styleId="WW8Num284z0">
    <w:name w:val="WW8Num284z0"/>
    <w:qFormat/>
    <w:rPr/>
  </w:style>
  <w:style w:type="character" w:styleId="WW8Num285z0">
    <w:name w:val="WW8Num285z0"/>
    <w:qFormat/>
    <w:rPr/>
  </w:style>
  <w:style w:type="character" w:styleId="WW8Num286z0">
    <w:name w:val="WW8Num286z0"/>
    <w:qFormat/>
    <w:rPr>
      <w:b w:val="false"/>
    </w:rPr>
  </w:style>
  <w:style w:type="character" w:styleId="WW8Num286z1">
    <w:name w:val="WW8Num286z1"/>
    <w:qFormat/>
    <w:rPr/>
  </w:style>
  <w:style w:type="character" w:styleId="WW8Num287z0">
    <w:name w:val="WW8Num287z0"/>
    <w:qFormat/>
    <w:rPr/>
  </w:style>
  <w:style w:type="character" w:styleId="WW8Num288z1">
    <w:name w:val="WW8Num288z1"/>
    <w:qFormat/>
    <w:rPr/>
  </w:style>
  <w:style w:type="character" w:styleId="WW8Num289z0">
    <w:name w:val="WW8Num289z0"/>
    <w:qFormat/>
    <w:rPr/>
  </w:style>
  <w:style w:type="character" w:styleId="WW8Num290z0">
    <w:name w:val="WW8Num290z0"/>
    <w:qFormat/>
    <w:rPr/>
  </w:style>
  <w:style w:type="character" w:styleId="WW8Num291z0">
    <w:name w:val="WW8Num291z0"/>
    <w:qFormat/>
    <w:rPr>
      <w:b w:val="false"/>
      <w:u w:val="none"/>
    </w:rPr>
  </w:style>
  <w:style w:type="character" w:styleId="WW8Num291z1">
    <w:name w:val="WW8Num291z1"/>
    <w:qFormat/>
    <w:rPr/>
  </w:style>
  <w:style w:type="character" w:styleId="WW8Num294z0">
    <w:name w:val="WW8Num294z0"/>
    <w:qFormat/>
    <w:rPr/>
  </w:style>
  <w:style w:type="character" w:styleId="WW8Num295z0">
    <w:name w:val="WW8Num295z0"/>
    <w:qFormat/>
    <w:rPr>
      <w:rFonts w:ascii="Arial" w:hAnsi="Arial" w:cs="Arial"/>
      <w:b/>
      <w:sz w:val="24"/>
    </w:rPr>
  </w:style>
  <w:style w:type="character" w:styleId="WW8Num297z0">
    <w:name w:val="WW8Num297z0"/>
    <w:qFormat/>
    <w:rPr/>
  </w:style>
  <w:style w:type="character" w:styleId="WW8Num298z0">
    <w:name w:val="WW8Num298z0"/>
    <w:qFormat/>
    <w:rPr>
      <w:b w:val="false"/>
    </w:rPr>
  </w:style>
  <w:style w:type="character" w:styleId="WW8Num300z0">
    <w:name w:val="WW8Num300z0"/>
    <w:qFormat/>
    <w:rPr/>
  </w:style>
  <w:style w:type="character" w:styleId="WW8Num301z0">
    <w:name w:val="WW8Num301z0"/>
    <w:qFormat/>
    <w:rPr/>
  </w:style>
  <w:style w:type="character" w:styleId="WW8Num302z0">
    <w:name w:val="WW8Num302z0"/>
    <w:qFormat/>
    <w:rPr>
      <w:b w:val="false"/>
    </w:rPr>
  </w:style>
  <w:style w:type="character" w:styleId="WW8Num303z0">
    <w:name w:val="WW8Num303z0"/>
    <w:qFormat/>
    <w:rPr>
      <w:sz w:val="28"/>
    </w:rPr>
  </w:style>
  <w:style w:type="character" w:styleId="WW8Num304z0">
    <w:name w:val="WW8Num304z0"/>
    <w:qFormat/>
    <w:rPr>
      <w:rFonts w:ascii="Symbol" w:hAnsi="Symbol" w:cs="Symbol"/>
      <w:b/>
    </w:rPr>
  </w:style>
  <w:style w:type="character" w:styleId="WW8Num305z0">
    <w:name w:val="WW8Num305z0"/>
    <w:qFormat/>
    <w:rPr/>
  </w:style>
  <w:style w:type="character" w:styleId="WW8Num306z0">
    <w:name w:val="WW8Num306z0"/>
    <w:qFormat/>
    <w:rPr>
      <w:b w:val="false"/>
      <w:u w:val="none"/>
    </w:rPr>
  </w:style>
  <w:style w:type="character" w:styleId="WW8Num307z0">
    <w:name w:val="WW8Num307z0"/>
    <w:qFormat/>
    <w:rPr>
      <w:b w:val="false"/>
    </w:rPr>
  </w:style>
  <w:style w:type="character" w:styleId="WW8Num307z1">
    <w:name w:val="WW8Num307z1"/>
    <w:qFormat/>
    <w:rPr/>
  </w:style>
  <w:style w:type="character" w:styleId="WW8Num308z0">
    <w:name w:val="WW8Num308z0"/>
    <w:qFormat/>
    <w:rPr>
      <w:b w:val="false"/>
    </w:rPr>
  </w:style>
  <w:style w:type="character" w:styleId="WW8Num308z1">
    <w:name w:val="WW8Num308z1"/>
    <w:qFormat/>
    <w:rPr/>
  </w:style>
  <w:style w:type="character" w:styleId="WW8Num309z0">
    <w:name w:val="WW8Num309z0"/>
    <w:qFormat/>
    <w:rPr>
      <w:b w:val="false"/>
      <w:i w:val="false"/>
      <w:u w:val="none"/>
    </w:rPr>
  </w:style>
  <w:style w:type="character" w:styleId="WW8Num310z0">
    <w:name w:val="WW8Num310z0"/>
    <w:qFormat/>
    <w:rPr/>
  </w:style>
  <w:style w:type="character" w:styleId="WW8Num311z0">
    <w:name w:val="WW8Num311z0"/>
    <w:qFormat/>
    <w:rPr/>
  </w:style>
  <w:style w:type="character" w:styleId="WW8Num312z0">
    <w:name w:val="WW8Num312z0"/>
    <w:qFormat/>
    <w:rPr/>
  </w:style>
  <w:style w:type="character" w:styleId="WW8Num313z0">
    <w:name w:val="WW8Num313z0"/>
    <w:qFormat/>
    <w:rPr>
      <w:b/>
    </w:rPr>
  </w:style>
  <w:style w:type="character" w:styleId="WW8Num314z0">
    <w:name w:val="WW8Num314z0"/>
    <w:qFormat/>
    <w:rPr/>
  </w:style>
  <w:style w:type="character" w:styleId="WW8Num315z0">
    <w:name w:val="WW8Num315z0"/>
    <w:qFormat/>
    <w:rPr/>
  </w:style>
  <w:style w:type="character" w:styleId="WW8Num316z0">
    <w:name w:val="WW8Num316z0"/>
    <w:qFormat/>
    <w:rPr/>
  </w:style>
  <w:style w:type="character" w:styleId="WW8Num318z0">
    <w:name w:val="WW8Num318z0"/>
    <w:qFormat/>
    <w:rPr>
      <w:b w:val="false"/>
      <w:i w:val="false"/>
      <w:u w:val="none"/>
    </w:rPr>
  </w:style>
  <w:style w:type="character" w:styleId="WW8Num318z1">
    <w:name w:val="WW8Num318z1"/>
    <w:qFormat/>
    <w:rPr/>
  </w:style>
  <w:style w:type="character" w:styleId="WW8Num319z0">
    <w:name w:val="WW8Num319z0"/>
    <w:qFormat/>
    <w:rPr/>
  </w:style>
  <w:style w:type="character" w:styleId="WW8Num320z0">
    <w:name w:val="WW8Num320z0"/>
    <w:qFormat/>
    <w:rPr/>
  </w:style>
  <w:style w:type="character" w:styleId="WW8Num321z0">
    <w:name w:val="WW8Num321z0"/>
    <w:qFormat/>
    <w:rPr>
      <w:sz w:val="28"/>
    </w:rPr>
  </w:style>
  <w:style w:type="character" w:styleId="WW8Num322z0">
    <w:name w:val="WW8Num322z0"/>
    <w:qFormat/>
    <w:rPr>
      <w:b w:val="false"/>
    </w:rPr>
  </w:style>
  <w:style w:type="character" w:styleId="WW8Num322z1">
    <w:name w:val="WW8Num322z1"/>
    <w:qFormat/>
    <w:rPr/>
  </w:style>
  <w:style w:type="character" w:styleId="WW8Num323z0">
    <w:name w:val="WW8Num323z0"/>
    <w:qFormat/>
    <w:rPr/>
  </w:style>
  <w:style w:type="character" w:styleId="WW8Num324z0">
    <w:name w:val="WW8Num324z0"/>
    <w:qFormat/>
    <w:rPr/>
  </w:style>
  <w:style w:type="character" w:styleId="WW8Num325z0">
    <w:name w:val="WW8Num325z0"/>
    <w:qFormat/>
    <w:rPr>
      <w:b w:val="false"/>
      <w:sz w:val="24"/>
    </w:rPr>
  </w:style>
  <w:style w:type="character" w:styleId="WW8Num326z0">
    <w:name w:val="WW8Num326z0"/>
    <w:qFormat/>
    <w:rPr/>
  </w:style>
  <w:style w:type="character" w:styleId="WW8Num327z0">
    <w:name w:val="WW8Num327z0"/>
    <w:qFormat/>
    <w:rPr/>
  </w:style>
  <w:style w:type="character" w:styleId="WW8Num328z0">
    <w:name w:val="WW8Num328z0"/>
    <w:qFormat/>
    <w:rPr>
      <w:sz w:val="28"/>
    </w:rPr>
  </w:style>
  <w:style w:type="character" w:styleId="WW8Num329z0">
    <w:name w:val="WW8Num329z0"/>
    <w:qFormat/>
    <w:rPr/>
  </w:style>
  <w:style w:type="character" w:styleId="WW8Num330z0">
    <w:name w:val="WW8Num330z0"/>
    <w:qFormat/>
    <w:rPr>
      <w:b w:val="false"/>
    </w:rPr>
  </w:style>
  <w:style w:type="character" w:styleId="WW8Num330z1">
    <w:name w:val="WW8Num330z1"/>
    <w:qFormat/>
    <w:rPr/>
  </w:style>
  <w:style w:type="character" w:styleId="WW8Num331z0">
    <w:name w:val="WW8Num33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2001-05-29T18:21:00Z</dcterms:created>
  <dc:creator>Bob Henderson</dc:creator>
  <dc:description/>
  <dc:language>en-CA</dc:language>
  <cp:lastModifiedBy>DCAGLE</cp:lastModifiedBy>
  <cp:lastPrinted>2001-05-31T16:40:00Z</cp:lastPrinted>
  <dcterms:modified xsi:type="dcterms:W3CDTF">2001-05-31T19:13:00Z</dcterms:modified>
  <cp:revision>23</cp:revision>
  <dc:subject/>
  <dc:title> </dc:title>
</cp:coreProperties>
</file>