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b/>
          <w:i/>
          <w:i/>
          <w:sz w:val="16"/>
        </w:rPr>
      </w:pPr>
      <w:r>
        <w:rPr>
          <w:b/>
          <w:bCs/>
        </w:rPr>
        <w:t xml:space="preserve">                                                                                            </w:t>
      </w:r>
      <w:r>
        <w:rPr>
          <w:b/>
          <w:i/>
          <w:sz w:val="16"/>
        </w:rPr>
        <w:drawing>
          <wp:inline distT="0" distB="0" distL="0" distR="0">
            <wp:extent cx="1944370"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944370" cy="285750"/>
                    </a:xfrm>
                    <a:prstGeom prst="rect">
                      <a:avLst/>
                    </a:prstGeom>
                    <a:noFill/>
                  </pic:spPr>
                </pic:pic>
              </a:graphicData>
            </a:graphic>
          </wp:inline>
        </w:drawing>
      </w:r>
    </w:p>
    <w:p>
      <w:pPr>
        <w:pStyle w:val="Normal"/>
        <w:tabs>
          <w:tab w:val="clear" w:pos="720"/>
          <w:tab w:val="left" w:pos="0" w:leader="none"/>
        </w:tabs>
        <w:rPr>
          <w:b/>
          <w:i/>
          <w:i/>
          <w:sz w:val="16"/>
        </w:rPr>
      </w:pPr>
      <w:r>
        <w:rPr>
          <w:b/>
          <w:i/>
          <w:sz w:val="16"/>
        </w:rPr>
        <w:t xml:space="preserve">                                                                                                                                                  </w:t>
      </w:r>
      <w:r>
        <w:rPr>
          <w:b/>
          <w:i/>
          <w:sz w:val="16"/>
        </w:rPr>
        <w:t>A California Limited Liability Company</w:t>
      </w:r>
    </w:p>
    <w:p>
      <w:pPr>
        <w:pStyle w:val="Normal"/>
        <w:tabs>
          <w:tab w:val="clear" w:pos="720"/>
          <w:tab w:val="left" w:pos="0" w:leader="none"/>
        </w:tabs>
        <w:jc w:val="end"/>
        <w:rPr>
          <w:b/>
          <w:i/>
          <w:i/>
          <w:sz w:val="16"/>
        </w:rPr>
      </w:pPr>
      <w:r>
        <w:rPr>
          <w:b/>
          <w:i/>
          <w:sz w:val="16"/>
        </w:rPr>
      </w:r>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color w:val="0000FF"/>
        </w:rPr>
      </w:pPr>
      <w:r>
        <w:rPr>
          <w:i/>
          <w:iCs/>
          <w:color w:val="0000FF"/>
        </w:rPr>
        <w:t>KNOW THE ISO</w:t>
      </w:r>
      <w:r>
        <w:rPr>
          <w:color w:val="0000FF"/>
        </w:rPr>
        <w:t xml:space="preserve"> </w:t>
      </w:r>
      <w:r>
        <w:rPr>
          <w:rFonts w:cs="Arial" w:ascii="Arial" w:hAnsi="Arial"/>
          <w:color w:val="0000FF"/>
        </w:rPr>
        <w:t xml:space="preserve">SPECIAL REPORT </w:t>
      </w:r>
    </w:p>
    <w:p>
      <w:pPr>
        <w:pStyle w:val="Heading1"/>
        <w:ind w:hanging="0" w:start="0"/>
        <w:jc w:val="center"/>
        <w:rPr>
          <w:b/>
          <w:bCs/>
          <w:sz w:val="28"/>
        </w:rPr>
      </w:pPr>
      <w:r>
        <w:rPr>
          <w:b/>
          <w:bCs/>
          <w:sz w:val="28"/>
        </w:rPr>
        <w:t xml:space="preserve">May ISO Board Meeting Discussion:  </w:t>
      </w:r>
    </w:p>
    <w:p>
      <w:pPr>
        <w:pStyle w:val="Heading1"/>
        <w:ind w:hanging="0" w:start="0"/>
        <w:jc w:val="center"/>
        <w:rPr/>
      </w:pPr>
      <w:r>
        <w:rPr>
          <w:b/>
          <w:bCs/>
          <w:color w:val="0000FF"/>
          <w:sz w:val="28"/>
        </w:rPr>
        <w:t>May 22</w:t>
      </w:r>
      <w:r>
        <w:rPr>
          <w:b/>
          <w:bCs/>
          <w:color w:val="0000FF"/>
          <w:sz w:val="28"/>
          <w:vertAlign w:val="superscript"/>
        </w:rPr>
        <w:t>nd</w:t>
      </w:r>
      <w:r>
        <w:rPr>
          <w:b/>
          <w:bCs/>
          <w:color w:val="0000FF"/>
          <w:sz w:val="28"/>
        </w:rPr>
        <w:t xml:space="preserve"> ISO Stage 2 Emergency</w:t>
      </w:r>
    </w:p>
    <w:p>
      <w:pPr>
        <w:pStyle w:val="Heading1"/>
        <w:ind w:hanging="0" w:start="0"/>
        <w:jc w:val="center"/>
        <w:rPr/>
      </w:pPr>
      <w:r>
        <w:rPr>
          <w:b/>
          <w:bCs/>
          <w:sz w:val="20"/>
        </w:rPr>
        <w:t>May 25</w:t>
      </w:r>
      <w:r>
        <w:rPr>
          <w:b/>
          <w:bCs/>
          <w:sz w:val="20"/>
          <w:vertAlign w:val="superscript"/>
        </w:rPr>
        <w:t>th</w:t>
      </w:r>
      <w:r>
        <w:rPr>
          <w:b/>
          <w:bCs/>
          <w:sz w:val="20"/>
        </w:rPr>
        <w:t>, 2000 discussion</w:t>
      </w:r>
    </w:p>
    <w:p>
      <w:pPr>
        <w:pStyle w:val="Normal"/>
        <w:rPr/>
      </w:pPr>
      <w:r>
        <w:rPr/>
        <w:t>===============================================================</w:t>
      </w:r>
    </w:p>
    <w:p>
      <w:pPr>
        <w:pStyle w:val="Normal"/>
        <w:rPr>
          <w:rFonts w:ascii="Lucida Sans" w:hAnsi="Lucida Sans" w:cs="Lucida Sans"/>
          <w:b/>
          <w:bCs/>
          <w:sz w:val="28"/>
          <w:u w:val="single"/>
        </w:rPr>
      </w:pPr>
      <w:r>
        <w:rPr>
          <w:rFonts w:cs="Lucida Sans" w:ascii="Lucida Sans" w:hAnsi="Lucida Sans"/>
          <w:b/>
          <w:bCs/>
          <w:sz w:val="28"/>
          <w:u w:val="single"/>
        </w:rPr>
        <w:t xml:space="preserve">Important Topics Covered:  </w:t>
      </w:r>
    </w:p>
    <w:p>
      <w:pPr>
        <w:pStyle w:val="Normal"/>
        <w:numPr>
          <w:ilvl w:val="0"/>
          <w:numId w:val="5"/>
        </w:numPr>
        <w:tabs>
          <w:tab w:val="clear" w:pos="720"/>
          <w:tab w:val="left" w:pos="540" w:leader="none"/>
        </w:tabs>
        <w:ind w:hanging="540" w:start="720" w:end="0"/>
        <w:rPr>
          <w:rFonts w:ascii="Lucida Sans" w:hAnsi="Lucida Sans" w:cs="Lucida Sans"/>
        </w:rPr>
      </w:pPr>
      <w:r>
        <w:rPr>
          <w:rFonts w:cs="Lucida Sans" w:ascii="Lucida Sans" w:hAnsi="Lucida Sans"/>
        </w:rPr>
        <w:t xml:space="preserve">Timeline of events; </w:t>
      </w:r>
    </w:p>
    <w:p>
      <w:pPr>
        <w:pStyle w:val="Normal"/>
        <w:numPr>
          <w:ilvl w:val="0"/>
          <w:numId w:val="5"/>
        </w:numPr>
        <w:tabs>
          <w:tab w:val="clear" w:pos="720"/>
          <w:tab w:val="left" w:pos="540" w:leader="none"/>
        </w:tabs>
        <w:ind w:hanging="540" w:start="720" w:end="0"/>
        <w:rPr>
          <w:rFonts w:ascii="Lucida Sans" w:hAnsi="Lucida Sans" w:cs="Lucida Sans"/>
        </w:rPr>
      </w:pPr>
      <w:r>
        <w:rPr>
          <w:rFonts w:cs="Lucida Sans" w:ascii="Lucida Sans" w:hAnsi="Lucida Sans"/>
        </w:rPr>
        <w:t>Implications of such high loads this early in the season for this summer’s California resource balance;  and</w:t>
      </w:r>
    </w:p>
    <w:p>
      <w:pPr>
        <w:pStyle w:val="Normal"/>
        <w:numPr>
          <w:ilvl w:val="0"/>
          <w:numId w:val="5"/>
        </w:numPr>
        <w:tabs>
          <w:tab w:val="clear" w:pos="720"/>
          <w:tab w:val="left" w:pos="540" w:leader="none"/>
        </w:tabs>
        <w:ind w:hanging="540" w:start="720" w:end="0"/>
        <w:rPr>
          <w:rFonts w:ascii="Lucida Sans" w:hAnsi="Lucida Sans" w:cs="Lucida Sans"/>
        </w:rPr>
      </w:pPr>
      <w:r>
        <w:rPr>
          <w:rFonts w:cs="Lucida Sans" w:ascii="Lucida Sans" w:hAnsi="Lucida Sans"/>
        </w:rPr>
        <w:t xml:space="preserve">Lessons learned for the future. </w:t>
      </w:r>
    </w:p>
    <w:p>
      <w:pPr>
        <w:pStyle w:val="Normal"/>
        <w:rPr/>
      </w:pPr>
      <w:r>
        <w:rPr/>
        <w:t>===============================================================</w:t>
      </w:r>
    </w:p>
    <w:p>
      <w:pPr>
        <w:pStyle w:val="Normal"/>
        <w:rPr/>
      </w:pPr>
      <w:r>
        <w:rPr/>
        <w:t>This is a special report on the Stage 2 Emergency (grid-wide reserves less than 5%) called by the ISO on Monday, May 22</w:t>
      </w:r>
      <w:r>
        <w:rPr>
          <w:vertAlign w:val="superscript"/>
        </w:rPr>
        <w:t>nd</w:t>
      </w:r>
      <w:r>
        <w:rPr/>
        <w:t xml:space="preserve">.  It was the first emergency declaration of the year.  </w:t>
      </w:r>
    </w:p>
    <w:p>
      <w:pPr>
        <w:pStyle w:val="Normal"/>
        <w:rPr>
          <w:sz w:val="16"/>
        </w:rPr>
      </w:pPr>
      <w:r>
        <w:rPr>
          <w:sz w:val="16"/>
        </w:rPr>
      </w:r>
    </w:p>
    <w:p>
      <w:pPr>
        <w:pStyle w:val="Normal"/>
        <w:rPr/>
      </w:pPr>
      <w:r>
        <w:rPr/>
        <w:t>Though not noticed as a separate item on the agenda, this topic was discussed in detail at the May ISO Board meeting.  The ISO investigation and analysis is still on-going, but this report contains the best information as of late in the week.</w:t>
      </w:r>
    </w:p>
    <w:p>
      <w:pPr>
        <w:pStyle w:val="Normal"/>
        <w:rPr>
          <w:sz w:val="16"/>
        </w:rPr>
      </w:pPr>
      <w:r>
        <w:rPr>
          <w:sz w:val="16"/>
        </w:rPr>
      </w:r>
    </w:p>
    <w:p>
      <w:pPr>
        <w:pStyle w:val="Normal"/>
        <w:rPr/>
      </w:pPr>
      <w:r>
        <w:rPr/>
        <w:t xml:space="preserve">For your information, a very brief outline of the steps in the California Electrical Emergency Plan is provided in the Appendix.   </w:t>
      </w:r>
    </w:p>
    <w:p>
      <w:pPr>
        <w:pStyle w:val="Normal"/>
        <w:rPr>
          <w:sz w:val="16"/>
        </w:rPr>
      </w:pPr>
      <w:r>
        <w:rPr>
          <w:sz w:val="16"/>
        </w:rPr>
      </w:r>
    </w:p>
    <w:p>
      <w:pPr>
        <w:pStyle w:val="Normal"/>
        <w:pBdr>
          <w:bottom w:val="double" w:sz="6" w:space="1" w:color="000000"/>
        </w:pBdr>
        <w:rPr/>
      </w:pPr>
      <w:r>
        <w:rPr/>
        <w:t xml:space="preserve">You can find the presentation slides from Jim Detmers, ISO Senior Director of Operations, on the ISO Web site at </w:t>
      </w:r>
      <w:hyperlink r:id="rId3">
        <w:r>
          <w:rPr>
            <w:rStyle w:val="Hyperlink"/>
          </w:rPr>
          <w:t>www.caiso.com/pubinfo/BOG/documents</w:t>
        </w:r>
      </w:hyperlink>
      <w:r>
        <w:rPr/>
        <w:t xml:space="preserve">.   </w:t>
      </w:r>
    </w:p>
    <w:p>
      <w:pPr>
        <w:pStyle w:val="Normal"/>
        <w:pBdr>
          <w:bottom w:val="double" w:sz="6" w:space="1" w:color="000000"/>
        </w:pBdr>
        <w:rPr>
          <w:sz w:val="16"/>
        </w:rPr>
      </w:pPr>
      <w:r>
        <w:rPr>
          <w:sz w:val="16"/>
        </w:rPr>
      </w:r>
    </w:p>
    <w:p>
      <w:pPr>
        <w:pStyle w:val="Footer"/>
        <w:tabs>
          <w:tab w:val="clear" w:pos="4320"/>
          <w:tab w:val="clear" w:pos="8640"/>
        </w:tabs>
        <w:rPr>
          <w:sz w:val="16"/>
        </w:rPr>
      </w:pPr>
      <w:r>
        <w:rPr>
          <w:sz w:val="16"/>
        </w:rPr>
      </w:r>
    </w:p>
    <w:p>
      <w:pPr>
        <w:pStyle w:val="Heading3"/>
        <w:pBdr>
          <w:top w:val="single" w:sz="8" w:space="1" w:color="000000" w:shadow="1"/>
          <w:left w:val="single" w:sz="8" w:space="4" w:color="000000" w:shadow="1"/>
          <w:bottom w:val="single" w:sz="8" w:space="1" w:color="000000" w:shadow="1"/>
          <w:right w:val="single" w:sz="8" w:space="4" w:color="000000" w:shadow="1"/>
        </w:pBdr>
        <w:ind w:hanging="0" w:start="0"/>
        <w:rPr>
          <w:rFonts w:ascii="Lucida Sans" w:hAnsi="Lucida Sans" w:cs="Lucida Sans Unicode"/>
        </w:rPr>
      </w:pPr>
      <w:r>
        <w:rPr>
          <w:rFonts w:cs="Lucida Sans Unicode" w:ascii="Lucida Sans" w:hAnsi="Lucida Sans"/>
        </w:rPr>
        <w:t>Main causes of the emergency</w:t>
      </w:r>
    </w:p>
    <w:p>
      <w:pPr>
        <w:pStyle w:val="Normal"/>
        <w:rPr/>
      </w:pPr>
      <w:r>
        <w:rPr/>
        <w:t>There were several conditions that combined to create emergency conditions:</w:t>
      </w:r>
    </w:p>
    <w:p>
      <w:pPr>
        <w:pStyle w:val="Normal"/>
        <w:rPr>
          <w:sz w:val="16"/>
        </w:rPr>
      </w:pPr>
      <w:r>
        <w:rPr>
          <w:sz w:val="16"/>
        </w:rPr>
      </w:r>
    </w:p>
    <w:p>
      <w:pPr>
        <w:pStyle w:val="Normal"/>
        <w:numPr>
          <w:ilvl w:val="1"/>
          <w:numId w:val="4"/>
        </w:numPr>
        <w:tabs>
          <w:tab w:val="left" w:pos="720" w:leader="none"/>
        </w:tabs>
        <w:ind w:hanging="720" w:start="1080" w:end="0"/>
        <w:rPr/>
      </w:pPr>
      <w:r>
        <w:rPr>
          <w:b/>
          <w:bCs/>
          <w:i/>
          <w:iCs/>
        </w:rPr>
        <w:t>Higher-than-expected loads,</w:t>
      </w:r>
      <w:r>
        <w:rPr/>
        <w:t xml:space="preserve"> due partly to unseasonably high temperatures; </w:t>
      </w:r>
    </w:p>
    <w:p>
      <w:pPr>
        <w:pStyle w:val="Normal"/>
        <w:numPr>
          <w:ilvl w:val="1"/>
          <w:numId w:val="4"/>
        </w:numPr>
        <w:tabs>
          <w:tab w:val="left" w:pos="720" w:leader="none"/>
        </w:tabs>
        <w:ind w:hanging="720" w:start="1080" w:end="0"/>
        <w:rPr/>
      </w:pPr>
      <w:r>
        <w:rPr>
          <w:b/>
          <w:bCs/>
          <w:i/>
          <w:iCs/>
        </w:rPr>
        <w:t>Unavailability of several major generating resources</w:t>
      </w:r>
      <w:r>
        <w:rPr/>
        <w:t>;</w:t>
      </w:r>
    </w:p>
    <w:p>
      <w:pPr>
        <w:pStyle w:val="Normal"/>
        <w:numPr>
          <w:ilvl w:val="1"/>
          <w:numId w:val="4"/>
        </w:numPr>
        <w:tabs>
          <w:tab w:val="left" w:pos="720" w:leader="none"/>
        </w:tabs>
        <w:ind w:hanging="720" w:start="1080" w:end="0"/>
        <w:rPr/>
      </w:pPr>
      <w:r>
        <w:rPr>
          <w:b/>
          <w:bCs/>
          <w:i/>
          <w:iCs/>
        </w:rPr>
        <w:t>Import limits on the California-Oregon Interface (COI),</w:t>
      </w:r>
      <w:r>
        <w:rPr/>
        <w:t xml:space="preserve"> due to a line outage on BPA’s side;</w:t>
      </w:r>
    </w:p>
    <w:p>
      <w:pPr>
        <w:pStyle w:val="Normal"/>
        <w:numPr>
          <w:ilvl w:val="1"/>
          <w:numId w:val="4"/>
        </w:numPr>
        <w:tabs>
          <w:tab w:val="left" w:pos="720" w:leader="none"/>
        </w:tabs>
        <w:ind w:hanging="720" w:start="1080" w:end="0"/>
        <w:rPr/>
      </w:pPr>
      <w:r>
        <w:rPr>
          <w:b/>
          <w:bCs/>
          <w:i/>
          <w:iCs/>
        </w:rPr>
        <w:t>The day of the week,</w:t>
      </w:r>
      <w:r>
        <w:rPr/>
        <w:t xml:space="preserve"> with Mondays termed by the ISO as “particularly dangerous,” because the system is coming off typically low-load weekends and may not be prepared to handle unexpected load increases, e.g., of the magnitude seen last Monday;</w:t>
      </w:r>
    </w:p>
    <w:p>
      <w:pPr>
        <w:pStyle w:val="Normal"/>
        <w:numPr>
          <w:ilvl w:val="1"/>
          <w:numId w:val="4"/>
        </w:numPr>
        <w:tabs>
          <w:tab w:val="left" w:pos="720" w:leader="none"/>
          <w:tab w:val="left" w:pos="1080" w:leader="none"/>
        </w:tabs>
        <w:ind w:hanging="720" w:start="1080" w:end="0"/>
        <w:rPr/>
      </w:pPr>
      <w:r>
        <w:rPr>
          <w:b/>
          <w:bCs/>
          <w:i/>
          <w:iCs/>
        </w:rPr>
        <w:t>Relatively low hydroelectricity supplies from the Northwest</w:t>
      </w:r>
      <w:r>
        <w:rPr/>
        <w:t xml:space="preserve"> due to fish run requirements;  and</w:t>
      </w:r>
    </w:p>
    <w:p>
      <w:pPr>
        <w:pStyle w:val="Normal"/>
        <w:numPr>
          <w:ilvl w:val="1"/>
          <w:numId w:val="4"/>
        </w:numPr>
        <w:tabs>
          <w:tab w:val="left" w:pos="720" w:leader="none"/>
          <w:tab w:val="left" w:pos="1080" w:leader="none"/>
        </w:tabs>
        <w:ind w:hanging="720" w:start="1080" w:end="0"/>
        <w:rPr>
          <w:b/>
          <w:bCs/>
          <w:i/>
          <w:i/>
          <w:iCs/>
        </w:rPr>
      </w:pPr>
      <w:r>
        <w:rPr>
          <w:b/>
          <w:bCs/>
          <w:i/>
          <w:iCs/>
        </w:rPr>
        <w:t>High temperatures, and high energy-market prices, elsewhere in the west.</w:t>
      </w:r>
    </w:p>
    <w:p>
      <w:pPr>
        <w:pStyle w:val="Normal"/>
        <w:rPr>
          <w:b/>
          <w:bCs/>
          <w:i/>
          <w:i/>
          <w:iCs/>
        </w:rPr>
      </w:pPr>
      <w:r>
        <w:rPr>
          <w:b/>
          <w:bCs/>
          <w:i/>
          <w:iCs/>
        </w:rPr>
      </w:r>
    </w:p>
    <w:p>
      <w:pPr>
        <w:pStyle w:val="Heading3"/>
        <w:pBdr>
          <w:top w:val="single" w:sz="8" w:space="1" w:color="000000" w:shadow="1"/>
          <w:left w:val="single" w:sz="8" w:space="4" w:color="000000" w:shadow="1"/>
          <w:bottom w:val="single" w:sz="8" w:space="1" w:color="000000" w:shadow="1"/>
          <w:right w:val="single" w:sz="8" w:space="4" w:color="000000" w:shadow="1"/>
        </w:pBdr>
        <w:ind w:hanging="0" w:start="0"/>
        <w:rPr>
          <w:rFonts w:ascii="Lucida Sans" w:hAnsi="Lucida Sans" w:cs="Lucida Sans Unicode"/>
        </w:rPr>
      </w:pPr>
      <w:r>
        <w:rPr>
          <w:rFonts w:cs="Lucida Sans Unicode" w:ascii="Lucida Sans" w:hAnsi="Lucida Sans"/>
        </w:rPr>
        <w:t>Forecasted vs. actual loads</w:t>
      </w:r>
    </w:p>
    <w:p>
      <w:pPr>
        <w:pStyle w:val="Normal"/>
        <w:rPr/>
      </w:pPr>
      <w:r>
        <w:rPr/>
        <w:t>Here are the forecasted loads, compared to those actually experienced on the 22</w:t>
      </w:r>
      <w:r>
        <w:rPr>
          <w:vertAlign w:val="superscript"/>
        </w:rPr>
        <w:t>nd</w:t>
      </w:r>
      <w:r>
        <w:rPr/>
        <w:t>:</w:t>
      </w:r>
    </w:p>
    <w:p>
      <w:pPr>
        <w:pStyle w:val="Normal"/>
        <w:numPr>
          <w:ilvl w:val="0"/>
          <w:numId w:val="4"/>
        </w:numPr>
        <w:rPr/>
      </w:pPr>
      <w:r>
        <w:rPr>
          <w:b/>
          <w:bCs/>
          <w:i/>
          <w:iCs/>
        </w:rPr>
        <w:t>Saturday forecast for Monday:</w:t>
      </w:r>
      <w:r>
        <w:rPr/>
        <w:t xml:space="preserve">  36,800 MW</w:t>
      </w:r>
    </w:p>
    <w:p>
      <w:pPr>
        <w:pStyle w:val="Normal"/>
        <w:numPr>
          <w:ilvl w:val="0"/>
          <w:numId w:val="4"/>
        </w:numPr>
        <w:rPr/>
      </w:pPr>
      <w:r>
        <w:rPr>
          <w:b/>
          <w:bCs/>
          <w:i/>
          <w:iCs/>
        </w:rPr>
        <w:t>Sunday forecast for Monday:</w:t>
      </w:r>
      <w:r>
        <w:rPr/>
        <w:t xml:space="preserve">  39,000 MW</w:t>
      </w:r>
    </w:p>
    <w:p>
      <w:pPr>
        <w:pStyle w:val="Normal"/>
        <w:numPr>
          <w:ilvl w:val="0"/>
          <w:numId w:val="4"/>
        </w:numPr>
        <w:rPr/>
      </w:pPr>
      <w:r>
        <w:rPr>
          <w:b/>
          <w:bCs/>
          <w:i/>
          <w:iCs/>
        </w:rPr>
        <w:t>Actual demand on Monday:</w:t>
      </w:r>
      <w:r>
        <w:rPr/>
        <w:t xml:space="preserve">  39,800 MW</w:t>
      </w:r>
    </w:p>
    <w:p>
      <w:pPr>
        <w:pStyle w:val="Normal"/>
        <w:numPr>
          <w:ilvl w:val="0"/>
          <w:numId w:val="4"/>
        </w:numPr>
        <w:rPr/>
      </w:pPr>
      <w:r>
        <w:rPr>
          <w:b/>
          <w:bCs/>
          <w:i/>
          <w:iCs/>
        </w:rPr>
        <w:t>Actual demand without voluntary interruption of utility loads:</w:t>
      </w:r>
      <w:r>
        <w:rPr/>
        <w:t xml:space="preserve">  40,840 MW</w:t>
      </w:r>
    </w:p>
    <w:p>
      <w:pPr>
        <w:pStyle w:val="Normal"/>
        <w:numPr>
          <w:ilvl w:val="0"/>
          <w:numId w:val="4"/>
        </w:numPr>
        <w:rPr/>
      </w:pPr>
      <w:r>
        <w:rPr>
          <w:b/>
          <w:bCs/>
          <w:i/>
          <w:iCs/>
        </w:rPr>
        <w:t>Approximate actual demand, by IOU, without voluntary interruption of loads:</w:t>
      </w:r>
      <w:r>
        <w:rPr>
          <w:rFonts w:cs="Lucida Sans" w:ascii="Lucida Sans" w:hAnsi="Lucida Sans"/>
          <w:b/>
          <w:bCs/>
        </w:rPr>
        <w:t>*</w:t>
      </w:r>
      <w:r>
        <w:rPr/>
        <w:t xml:space="preserve">  </w:t>
      </w:r>
    </w:p>
    <w:p>
      <w:pPr>
        <w:pStyle w:val="Normal"/>
        <w:numPr>
          <w:ilvl w:val="1"/>
          <w:numId w:val="3"/>
        </w:numPr>
        <w:tabs>
          <w:tab w:val="clear" w:pos="720"/>
          <w:tab w:val="left" w:pos="1260" w:leader="none"/>
        </w:tabs>
        <w:ind w:hanging="900" w:start="1800" w:end="0"/>
        <w:rPr/>
      </w:pPr>
      <w:r>
        <w:rPr/>
        <w:t>PG&amp;E:  21,700 MW</w:t>
      </w:r>
    </w:p>
    <w:p>
      <w:pPr>
        <w:pStyle w:val="Normal"/>
        <w:numPr>
          <w:ilvl w:val="1"/>
          <w:numId w:val="3"/>
        </w:numPr>
        <w:tabs>
          <w:tab w:val="clear" w:pos="720"/>
          <w:tab w:val="left" w:pos="1260" w:leader="none"/>
        </w:tabs>
        <w:ind w:hanging="900" w:start="1800" w:end="0"/>
        <w:rPr/>
      </w:pPr>
      <w:r>
        <w:rPr/>
        <w:t>SCE:  16,600 MW</w:t>
      </w:r>
    </w:p>
    <w:p>
      <w:pPr>
        <w:pStyle w:val="Normal"/>
        <w:numPr>
          <w:ilvl w:val="1"/>
          <w:numId w:val="3"/>
        </w:numPr>
        <w:tabs>
          <w:tab w:val="clear" w:pos="720"/>
          <w:tab w:val="left" w:pos="1260" w:leader="none"/>
        </w:tabs>
        <w:ind w:hanging="900" w:start="1800" w:end="0"/>
        <w:rPr/>
      </w:pPr>
      <w:r>
        <w:rPr/>
        <w:t>SDG&amp;E:  2,700 MW</w:t>
      </w:r>
    </w:p>
    <w:p>
      <w:pPr>
        <w:pStyle w:val="Normal"/>
        <w:ind w:start="1440" w:end="0"/>
        <w:rPr>
          <w:sz w:val="16"/>
        </w:rPr>
      </w:pPr>
      <w:r>
        <w:rPr>
          <w:sz w:val="16"/>
        </w:rPr>
      </w:r>
    </w:p>
    <w:p>
      <w:pPr>
        <w:pStyle w:val="Normal"/>
        <w:rPr/>
      </w:pPr>
      <w:r>
        <w:rPr>
          <w:rFonts w:cs="Lucida Sans" w:ascii="Lucida Sans" w:hAnsi="Lucida Sans"/>
          <w:b/>
          <w:bCs/>
          <w:i/>
          <w:iCs/>
          <w:sz w:val="20"/>
        </w:rPr>
        <w:t>*</w:t>
      </w:r>
      <w:r>
        <w:rPr>
          <w:rFonts w:cs="Lucida Sans" w:ascii="Lucida Sans" w:hAnsi="Lucida Sans"/>
          <w:b/>
          <w:bCs/>
          <w:i/>
          <w:iCs/>
          <w:sz w:val="20"/>
          <w:u w:val="single"/>
        </w:rPr>
        <w:t>Notes:</w:t>
      </w:r>
    </w:p>
    <w:p>
      <w:pPr>
        <w:pStyle w:val="Normal"/>
        <w:numPr>
          <w:ilvl w:val="2"/>
          <w:numId w:val="6"/>
        </w:numPr>
        <w:tabs>
          <w:tab w:val="clear" w:pos="720"/>
          <w:tab w:val="left" w:pos="900" w:leader="none"/>
        </w:tabs>
        <w:ind w:hanging="720" w:start="1260" w:end="0"/>
        <w:rPr>
          <w:rFonts w:ascii="Lucida Sans" w:hAnsi="Lucida Sans" w:cs="Lucida Sans"/>
          <w:b/>
          <w:bCs/>
          <w:sz w:val="20"/>
        </w:rPr>
      </w:pPr>
      <w:r>
        <w:rPr>
          <w:rFonts w:cs="Lucida Sans" w:ascii="Lucida Sans" w:hAnsi="Lucida Sans"/>
          <w:b/>
          <w:bCs/>
          <w:sz w:val="20"/>
        </w:rPr>
        <w:t xml:space="preserve">Rounded to nearest 100 MW; ISO figures differed slightly in different parts of the ISO presentation.  </w:t>
      </w:r>
    </w:p>
    <w:p>
      <w:pPr>
        <w:pStyle w:val="Normal"/>
        <w:numPr>
          <w:ilvl w:val="2"/>
          <w:numId w:val="6"/>
        </w:numPr>
        <w:tabs>
          <w:tab w:val="clear" w:pos="720"/>
          <w:tab w:val="left" w:pos="900" w:leader="none"/>
        </w:tabs>
        <w:ind w:hanging="720" w:start="1260" w:end="0"/>
        <w:rPr>
          <w:rFonts w:ascii="Lucida Sans" w:hAnsi="Lucida Sans" w:cs="Lucida Sans"/>
          <w:b/>
          <w:bCs/>
          <w:sz w:val="20"/>
        </w:rPr>
      </w:pPr>
      <w:r>
        <w:rPr>
          <w:rFonts w:cs="Lucida Sans" w:ascii="Lucida Sans" w:hAnsi="Lucida Sans"/>
          <w:b/>
          <w:bCs/>
          <w:sz w:val="20"/>
        </w:rPr>
        <w:t>Numbers total more than the system peak, presumably because the 3 utility systems didn’t peak in the same hour.</w:t>
      </w:r>
    </w:p>
    <w:p>
      <w:pPr>
        <w:pStyle w:val="Normal"/>
        <w:numPr>
          <w:ilvl w:val="2"/>
          <w:numId w:val="6"/>
        </w:numPr>
        <w:tabs>
          <w:tab w:val="clear" w:pos="720"/>
          <w:tab w:val="left" w:pos="900" w:leader="none"/>
        </w:tabs>
        <w:ind w:hanging="720" w:start="1260" w:end="0"/>
        <w:rPr>
          <w:rFonts w:ascii="Lucida Sans" w:hAnsi="Lucida Sans" w:cs="Lucida Sans"/>
          <w:b/>
          <w:bCs/>
          <w:sz w:val="20"/>
        </w:rPr>
      </w:pPr>
      <w:r>
        <w:rPr>
          <w:rFonts w:cs="Lucida Sans" w:ascii="Lucida Sans" w:hAnsi="Lucida Sans"/>
          <w:b/>
          <w:bCs/>
          <w:sz w:val="20"/>
        </w:rPr>
        <w:t>Assumes allocation of 1,040 MW of interruptible load received is proportional to the 800 MW called for by the ISO (see below).  These numbers are adjusted from those in the ISO slides, which showed figures after the interruption.</w:t>
      </w:r>
    </w:p>
    <w:p>
      <w:pPr>
        <w:pStyle w:val="Normal"/>
        <w:rPr>
          <w:rFonts w:ascii="Lucida Sans" w:hAnsi="Lucida Sans" w:cs="Lucida Sans"/>
          <w:b/>
          <w:bCs/>
          <w:sz w:val="20"/>
        </w:rPr>
      </w:pPr>
      <w:r>
        <w:rPr>
          <w:rFonts w:cs="Lucida Sans" w:ascii="Lucida Sans" w:hAnsi="Lucida Sans"/>
          <w:b/>
          <w:bCs/>
          <w:sz w:val="20"/>
        </w:rPr>
      </w:r>
    </w:p>
    <w:p>
      <w:pPr>
        <w:pStyle w:val="Heading3"/>
        <w:pBdr>
          <w:top w:val="single" w:sz="8" w:space="1" w:color="000000" w:shadow="1"/>
          <w:left w:val="single" w:sz="8" w:space="4" w:color="000000" w:shadow="1"/>
          <w:bottom w:val="single" w:sz="8" w:space="1" w:color="000000" w:shadow="1"/>
          <w:right w:val="single" w:sz="8" w:space="4" w:color="000000" w:shadow="1"/>
        </w:pBdr>
        <w:ind w:hanging="0" w:start="0"/>
        <w:rPr/>
      </w:pPr>
      <w:r>
        <w:rPr>
          <w:rFonts w:cs="Lucida Sans Unicode" w:ascii="Lucida Sans" w:hAnsi="Lucida Sans"/>
        </w:rPr>
        <w:t>Implications of May 22</w:t>
      </w:r>
      <w:r>
        <w:rPr>
          <w:rFonts w:cs="Lucida Sans Unicode" w:ascii="Lucida Sans" w:hAnsi="Lucida Sans"/>
          <w:vertAlign w:val="superscript"/>
        </w:rPr>
        <w:t>nd</w:t>
      </w:r>
      <w:r>
        <w:rPr>
          <w:rFonts w:cs="Lucida Sans Unicode" w:ascii="Lucida Sans" w:hAnsi="Lucida Sans"/>
        </w:rPr>
        <w:t xml:space="preserve"> peak loads</w:t>
      </w:r>
    </w:p>
    <w:p>
      <w:pPr>
        <w:pStyle w:val="Normal"/>
        <w:rPr/>
      </w:pPr>
      <w:r>
        <w:rPr/>
        <w:t xml:space="preserve">The ISO singled out PG&amp;E’s demand as particularly worrisome this early in the season, possibly requiring an increase in the ISO’s PG&amp;E summer peak load forecast.  </w:t>
      </w:r>
      <w:r>
        <w:rPr>
          <w:i/>
          <w:iCs/>
        </w:rPr>
        <w:t>(Estimates for the other utilities might need to be increased as well, but it’s difficult to tell for sure from the released data.)</w:t>
      </w:r>
      <w:r>
        <w:rPr/>
        <w:t xml:space="preserve">  Management mentioned that this might require an increase in its ISO-wide summer forecast, to as high as 48,000 MW, but did not follow up with the implications of this revision.  </w:t>
      </w:r>
    </w:p>
    <w:p>
      <w:pPr>
        <w:pStyle w:val="Footer"/>
        <w:tabs>
          <w:tab w:val="clear" w:pos="4320"/>
          <w:tab w:val="clear" w:pos="8640"/>
        </w:tabs>
        <w:rPr>
          <w:sz w:val="16"/>
        </w:rPr>
      </w:pPr>
      <w:r>
        <w:rPr>
          <w:sz w:val="16"/>
        </w:rPr>
      </w:r>
    </w:p>
    <w:p>
      <w:pPr>
        <w:pStyle w:val="Normal"/>
        <w:rPr/>
      </w:pPr>
      <w:r>
        <w:rPr/>
        <w:t>By my count, based on ISO resource estimates released earlier, and assuming a proportional increase in the “Extreme Hot” (5-10% probability) forecast, here’s how the revised peak load numbers might look for this summer:</w:t>
      </w:r>
    </w:p>
    <w:p>
      <w:pPr>
        <w:pStyle w:val="Footer"/>
        <w:tabs>
          <w:tab w:val="clear" w:pos="4320"/>
          <w:tab w:val="clear" w:pos="8640"/>
        </w:tabs>
        <w:rPr>
          <w:sz w:val="16"/>
        </w:rPr>
      </w:pPr>
      <w:r>
        <w:rPr>
          <w:sz w:val="16"/>
        </w:rPr>
      </w:r>
    </w:p>
    <w:p>
      <w:pPr>
        <w:pStyle w:val="Heading7"/>
        <w:pBdr>
          <w:top w:val="single" w:sz="4" w:space="1" w:color="0000FF"/>
          <w:left w:val="single" w:sz="4" w:space="4" w:color="0000FF"/>
          <w:bottom w:val="single" w:sz="4" w:space="1" w:color="0000FF"/>
          <w:right w:val="single" w:sz="4" w:space="4" w:color="0000FF"/>
        </w:pBdr>
        <w:ind w:hanging="0" w:start="0"/>
        <w:rPr/>
      </w:pPr>
      <w:r>
        <w:rPr>
          <w:u w:val="single"/>
        </w:rPr>
        <w:t>Load condition</w:t>
      </w:r>
      <w:r>
        <w:rPr/>
        <w:t xml:space="preserve">   </w:t>
      </w:r>
      <w:r>
        <w:rPr>
          <w:u w:val="single"/>
        </w:rPr>
        <w:t>Peak load</w:t>
      </w:r>
      <w:r>
        <w:rPr/>
        <w:t xml:space="preserve">     </w:t>
      </w:r>
      <w:r>
        <w:rPr>
          <w:u w:val="single"/>
        </w:rPr>
        <w:t>In-area gen.*</w:t>
      </w:r>
      <w:r>
        <w:rPr/>
        <w:t xml:space="preserve">   </w:t>
      </w:r>
      <w:r>
        <w:rPr>
          <w:u w:val="single"/>
        </w:rPr>
        <w:t>Net imports</w:t>
      </w:r>
      <w:r>
        <w:rPr/>
        <w:t xml:space="preserve">       </w:t>
      </w:r>
      <w:r>
        <w:rPr>
          <w:u w:val="single"/>
        </w:rPr>
        <w:t>Margin</w:t>
      </w:r>
    </w:p>
    <w:p>
      <w:pPr>
        <w:pStyle w:val="Normal"/>
        <w:pBdr>
          <w:top w:val="single" w:sz="4" w:space="1" w:color="0000FF"/>
          <w:left w:val="single" w:sz="4" w:space="4" w:color="0000FF"/>
          <w:bottom w:val="single" w:sz="4" w:space="1" w:color="0000FF"/>
          <w:right w:val="single" w:sz="4" w:space="4" w:color="0000FF"/>
        </w:pBdr>
        <w:shd w:fill="E0E0E0" w:val="clear"/>
        <w:rPr/>
      </w:pPr>
      <w:r>
        <w:rPr/>
        <w:t>Normal, orig.          46,250 MW       38,000 MW          8,400 MW         150 MW excess</w:t>
      </w:r>
    </w:p>
    <w:p>
      <w:pPr>
        <w:pStyle w:val="Heading9"/>
        <w:pBdr>
          <w:top w:val="single" w:sz="4" w:space="1" w:color="0000FF"/>
          <w:left w:val="single" w:sz="4" w:space="4" w:color="0000FF"/>
          <w:bottom w:val="single" w:sz="4" w:space="1" w:color="0000FF"/>
          <w:right w:val="single" w:sz="4" w:space="4" w:color="0000FF"/>
        </w:pBdr>
        <w:ind w:hanging="0" w:start="0"/>
        <w:rPr/>
      </w:pPr>
      <w:r>
        <w:rPr/>
        <w:t xml:space="preserve">Normal, revised      48,000 MW      </w:t>
      </w:r>
      <w:r>
        <w:rPr>
          <w:b w:val="false"/>
          <w:bCs w:val="false"/>
          <w:i w:val="false"/>
          <w:iCs w:val="false"/>
          <w:color w:val="000000"/>
        </w:rPr>
        <w:t>38,000 MW          8,400 MW</w:t>
      </w:r>
      <w:r>
        <w:rPr/>
        <w:t xml:space="preserve">        1,600 MW deficit    </w:t>
      </w:r>
    </w:p>
    <w:p>
      <w:pPr>
        <w:pStyle w:val="Normal"/>
        <w:pBdr>
          <w:top w:val="single" w:sz="4" w:space="1" w:color="0000FF"/>
          <w:left w:val="single" w:sz="4" w:space="4" w:color="0000FF"/>
          <w:bottom w:val="single" w:sz="4" w:space="1" w:color="0000FF"/>
          <w:right w:val="single" w:sz="4" w:space="4" w:color="0000FF"/>
        </w:pBdr>
        <w:shd w:fill="E0E0E0" w:val="clear"/>
        <w:rPr/>
      </w:pPr>
      <w:r>
        <w:rPr/>
        <w:t>Extreme hot, orig.   48,940 MW      38,000 MW          7,000 MW</w:t>
      </w:r>
      <w:r>
        <w:rPr>
          <w:rFonts w:cs="Lucida Sans" w:ascii="Lucida Sans" w:hAnsi="Lucida Sans"/>
          <w:b/>
          <w:bCs/>
        </w:rPr>
        <w:t>**</w:t>
      </w:r>
      <w:r>
        <w:rPr/>
        <w:t xml:space="preserve">    3,940 MW deficit</w:t>
      </w:r>
    </w:p>
    <w:p>
      <w:pPr>
        <w:pStyle w:val="Heading9"/>
        <w:pBdr>
          <w:top w:val="single" w:sz="4" w:space="1" w:color="0000FF"/>
          <w:left w:val="single" w:sz="4" w:space="4" w:color="0000FF"/>
          <w:bottom w:val="single" w:sz="4" w:space="1" w:color="0000FF"/>
          <w:right w:val="single" w:sz="4" w:space="4" w:color="0000FF"/>
        </w:pBdr>
        <w:ind w:hanging="0" w:start="0"/>
        <w:rPr/>
      </w:pPr>
      <w:r>
        <w:rPr/>
        <w:t xml:space="preserve">Extreme hot, rev.    50,880 MW      </w:t>
      </w:r>
      <w:r>
        <w:rPr>
          <w:b w:val="false"/>
          <w:bCs w:val="false"/>
          <w:i w:val="false"/>
          <w:iCs w:val="false"/>
          <w:color w:val="000000"/>
        </w:rPr>
        <w:t>38,000 MW          7,000 MW</w:t>
      </w:r>
      <w:r>
        <w:rPr/>
        <w:t xml:space="preserve">       5,880 MW deficit</w:t>
      </w:r>
    </w:p>
    <w:p>
      <w:pPr>
        <w:pStyle w:val="Normal"/>
        <w:ind w:hanging="360" w:start="540" w:end="0"/>
        <w:rPr>
          <w:rFonts w:ascii="Lucida Sans" w:hAnsi="Lucida Sans" w:cs="Lucida Sans"/>
          <w:b/>
          <w:bCs/>
          <w:sz w:val="16"/>
        </w:rPr>
      </w:pPr>
      <w:r>
        <w:rPr>
          <w:rFonts w:cs="Lucida Sans" w:ascii="Lucida Sans" w:hAnsi="Lucida Sans"/>
          <w:b/>
          <w:bCs/>
          <w:sz w:val="16"/>
        </w:rPr>
      </w:r>
    </w:p>
    <w:p>
      <w:pPr>
        <w:pStyle w:val="Normal"/>
        <w:ind w:hanging="360" w:start="540" w:end="0"/>
        <w:rPr/>
      </w:pPr>
      <w:r>
        <w:rPr>
          <w:rFonts w:cs="Lucida Sans" w:ascii="Lucida Sans" w:hAnsi="Lucida Sans"/>
          <w:b/>
          <w:bCs/>
          <w:sz w:val="20"/>
        </w:rPr>
        <w:t xml:space="preserve">*  Available capacity </w:t>
      </w:r>
      <w:r>
        <w:rPr>
          <w:rFonts w:cs="Lucida Sans" w:ascii="Lucida Sans" w:hAnsi="Lucida Sans"/>
          <w:b/>
          <w:bCs/>
          <w:i/>
          <w:iCs/>
          <w:sz w:val="20"/>
          <w:u w:val="single"/>
        </w:rPr>
        <w:t>after</w:t>
      </w:r>
      <w:r>
        <w:rPr>
          <w:rFonts w:cs="Lucida Sans" w:ascii="Lucida Sans" w:hAnsi="Lucida Sans"/>
          <w:b/>
          <w:bCs/>
          <w:sz w:val="20"/>
        </w:rPr>
        <w:t xml:space="preserve"> subtracting 5-7% reserve margin.  </w:t>
      </w:r>
      <w:r>
        <w:rPr>
          <w:rFonts w:cs="Lucida Sans" w:ascii="Lucida Sans" w:hAnsi="Lucida Sans"/>
          <w:b/>
          <w:bCs/>
          <w:sz w:val="20"/>
          <w:u w:val="single"/>
        </w:rPr>
        <w:t>Assumes that all capacity is on-line.</w:t>
      </w:r>
    </w:p>
    <w:p>
      <w:pPr>
        <w:pStyle w:val="Normal"/>
        <w:ind w:hanging="360" w:start="540" w:end="0"/>
        <w:rPr>
          <w:rFonts w:ascii="Lucida Sans" w:hAnsi="Lucida Sans" w:cs="Lucida Sans"/>
          <w:b/>
          <w:bCs/>
          <w:sz w:val="20"/>
        </w:rPr>
      </w:pPr>
      <w:r>
        <w:rPr>
          <w:rFonts w:cs="Lucida Sans" w:ascii="Lucida Sans" w:hAnsi="Lucida Sans"/>
          <w:b/>
          <w:bCs/>
          <w:sz w:val="20"/>
        </w:rPr>
        <w:t>** Imports are less in Extreme Hot weather because resources in surrounding Control Areas are devoted to serving local loads.</w:t>
      </w:r>
    </w:p>
    <w:p>
      <w:pPr>
        <w:pStyle w:val="Normal"/>
        <w:ind w:hanging="360" w:start="540" w:end="0"/>
        <w:rPr>
          <w:rFonts w:ascii="Lucida Sans" w:hAnsi="Lucida Sans" w:cs="Lucida Sans"/>
          <w:b/>
          <w:bCs/>
          <w:sz w:val="20"/>
        </w:rPr>
      </w:pPr>
      <w:r>
        <w:rPr>
          <w:rFonts w:cs="Lucida Sans" w:ascii="Lucida Sans" w:hAnsi="Lucida Sans"/>
          <w:b/>
          <w:bCs/>
          <w:sz w:val="20"/>
        </w:rPr>
      </w:r>
    </w:p>
    <w:p>
      <w:pPr>
        <w:pStyle w:val="Normal"/>
        <w:ind w:hanging="360" w:start="540" w:end="0"/>
        <w:rPr>
          <w:rFonts w:ascii="Lucida Sans" w:hAnsi="Lucida Sans" w:cs="Lucida Sans"/>
          <w:b/>
          <w:bCs/>
        </w:rPr>
      </w:pPr>
      <w:r>
        <w:rPr>
          <w:rFonts w:cs="Lucida Sans" w:ascii="Lucida Sans" w:hAnsi="Lucida Sans"/>
          <w:b/>
          <w:bCs/>
        </w:rPr>
      </w:r>
    </w:p>
    <w:p>
      <w:pPr>
        <w:pStyle w:val="Normal"/>
        <w:ind w:hanging="360" w:start="540" w:end="0"/>
        <w:rPr>
          <w:rFonts w:ascii="Lucida Sans" w:hAnsi="Lucida Sans" w:cs="Lucida Sans"/>
          <w:b/>
          <w:bCs/>
        </w:rPr>
      </w:pPr>
      <w:r>
        <w:rPr>
          <w:rFonts w:cs="Lucida Sans" w:ascii="Lucida Sans" w:hAnsi="Lucida Sans"/>
          <w:b/>
          <w:bCs/>
        </w:rPr>
      </w:r>
    </w:p>
    <w:p>
      <w:pPr>
        <w:pStyle w:val="Heading3"/>
        <w:pBdr>
          <w:top w:val="single" w:sz="8" w:space="1" w:color="000000" w:shadow="1"/>
          <w:left w:val="single" w:sz="8" w:space="4" w:color="000000" w:shadow="1"/>
          <w:bottom w:val="single" w:sz="8" w:space="1" w:color="000000" w:shadow="1"/>
          <w:right w:val="single" w:sz="8" w:space="4" w:color="000000" w:shadow="1"/>
        </w:pBdr>
        <w:ind w:hanging="0" w:start="0"/>
        <w:rPr>
          <w:rFonts w:ascii="Lucida Sans" w:hAnsi="Lucida Sans" w:cs="Lucida Sans Unicode"/>
        </w:rPr>
      </w:pPr>
      <w:r>
        <w:rPr>
          <w:rFonts w:cs="Lucida Sans Unicode" w:ascii="Lucida Sans" w:hAnsi="Lucida Sans"/>
        </w:rPr>
        <w:t>Units out of service</w:t>
      </w:r>
    </w:p>
    <w:p>
      <w:pPr>
        <w:pStyle w:val="Normal"/>
        <w:rPr/>
      </w:pPr>
      <w:r>
        <w:rPr/>
        <w:t>There were a total of 6,700 MW unavailable in the ISO Control Area, i.e.:</w:t>
      </w:r>
    </w:p>
    <w:p>
      <w:pPr>
        <w:pStyle w:val="Normal"/>
        <w:numPr>
          <w:ilvl w:val="1"/>
          <w:numId w:val="4"/>
        </w:numPr>
        <w:tabs>
          <w:tab w:val="left" w:pos="720" w:leader="none"/>
        </w:tabs>
        <w:ind w:hanging="720" w:start="1080" w:end="0"/>
        <w:rPr/>
      </w:pPr>
      <w:r>
        <w:rPr>
          <w:rFonts w:cs="Lucida Sans" w:ascii="Lucida Sans" w:hAnsi="Lucida Sans"/>
          <w:b/>
          <w:bCs/>
          <w:u w:val="single"/>
        </w:rPr>
        <w:t>3,100 MW of units down on forced outages</w:t>
      </w:r>
      <w:r>
        <w:rPr/>
        <w:t xml:space="preserve"> (including units out 3-4 days beforehand), e.g., from boiler tube leaks or exploded transformers;  and</w:t>
      </w:r>
    </w:p>
    <w:p>
      <w:pPr>
        <w:pStyle w:val="Normal"/>
        <w:numPr>
          <w:ilvl w:val="1"/>
          <w:numId w:val="4"/>
        </w:numPr>
        <w:tabs>
          <w:tab w:val="left" w:pos="720" w:leader="none"/>
        </w:tabs>
        <w:ind w:hanging="720" w:start="1080" w:end="0"/>
        <w:rPr/>
      </w:pPr>
      <w:r>
        <w:rPr>
          <w:rFonts w:cs="Lucida Sans" w:ascii="Lucida Sans" w:hAnsi="Lucida Sans"/>
          <w:b/>
          <w:bCs/>
          <w:u w:val="single"/>
        </w:rPr>
        <w:t>3,600 MW out on scheduled maintenance</w:t>
      </w:r>
      <w:r>
        <w:rPr/>
        <w:t>, with targeted on-line dates in the first or second week of June (since demand was not anticipated to be this high so early in the season).</w:t>
      </w:r>
    </w:p>
    <w:p>
      <w:pPr>
        <w:pStyle w:val="Normal"/>
        <w:rPr>
          <w:sz w:val="16"/>
        </w:rPr>
      </w:pPr>
      <w:r>
        <w:rPr>
          <w:sz w:val="16"/>
        </w:rPr>
      </w:r>
    </w:p>
    <w:p>
      <w:pPr>
        <w:pStyle w:val="Normal"/>
        <w:rPr>
          <w:sz w:val="16"/>
        </w:rPr>
      </w:pPr>
      <w:r>
        <w:rPr/>
        <w:t>Here’s the rough timeline of events:</w:t>
      </w:r>
    </w:p>
    <w:p>
      <w:pPr>
        <w:pStyle w:val="Normal"/>
        <w:numPr>
          <w:ilvl w:val="0"/>
          <w:numId w:val="4"/>
        </w:numPr>
        <w:rPr/>
      </w:pPr>
      <w:r>
        <w:rPr>
          <w:rFonts w:cs="Arial" w:ascii="Arial" w:hAnsi="Arial"/>
          <w:b/>
          <w:bCs/>
          <w:u w:val="single"/>
        </w:rPr>
        <w:t>Sunday, May 20</w:t>
      </w:r>
      <w:r>
        <w:rPr>
          <w:rFonts w:cs="Arial" w:ascii="Arial" w:hAnsi="Arial"/>
          <w:b/>
          <w:bCs/>
          <w:u w:val="single"/>
          <w:vertAlign w:val="superscript"/>
        </w:rPr>
        <w:t>th</w:t>
      </w:r>
      <w:r>
        <w:rPr>
          <w:rFonts w:cs="Arial" w:ascii="Arial" w:hAnsi="Arial"/>
          <w:b/>
          <w:bCs/>
          <w:u w:val="single"/>
        </w:rPr>
        <w:t>:</w:t>
      </w:r>
      <w:r>
        <w:rPr/>
        <w:t xml:space="preserve">  </w:t>
      </w:r>
    </w:p>
    <w:p>
      <w:pPr>
        <w:pStyle w:val="Normal"/>
        <w:numPr>
          <w:ilvl w:val="0"/>
          <w:numId w:val="3"/>
        </w:numPr>
        <w:rPr/>
      </w:pPr>
      <w:r>
        <w:rPr>
          <w:b/>
          <w:bCs/>
        </w:rPr>
        <w:t>2pm</w:t>
      </w:r>
      <w:r>
        <w:rPr/>
        <w:t xml:space="preserve"> - “No Touch” Day (prohibiting work on critical facilities unless absolutely necessary), Alert, and Warning issued</w:t>
      </w:r>
    </w:p>
    <w:p>
      <w:pPr>
        <w:pStyle w:val="Normal"/>
        <w:rPr>
          <w:sz w:val="16"/>
        </w:rPr>
      </w:pPr>
      <w:r>
        <w:rPr>
          <w:sz w:val="16"/>
        </w:rPr>
      </w:r>
    </w:p>
    <w:p>
      <w:pPr>
        <w:pStyle w:val="Normal"/>
        <w:numPr>
          <w:ilvl w:val="0"/>
          <w:numId w:val="3"/>
        </w:numPr>
        <w:rPr/>
      </w:pPr>
      <w:r>
        <w:rPr>
          <w:b/>
          <w:bCs/>
        </w:rPr>
        <w:t>7:30pm</w:t>
      </w:r>
      <w:r>
        <w:rPr/>
        <w:t xml:space="preserve"> - Power Watch issued (public notice and request to conserve)</w:t>
      </w:r>
    </w:p>
    <w:p>
      <w:pPr>
        <w:pStyle w:val="Normal"/>
        <w:rPr>
          <w:sz w:val="16"/>
        </w:rPr>
      </w:pPr>
      <w:r>
        <w:rPr>
          <w:sz w:val="16"/>
        </w:rPr>
      </w:r>
    </w:p>
    <w:p>
      <w:pPr>
        <w:pStyle w:val="Normal"/>
        <w:numPr>
          <w:ilvl w:val="4"/>
          <w:numId w:val="3"/>
        </w:numPr>
        <w:tabs>
          <w:tab w:val="left" w:pos="720" w:leader="none"/>
        </w:tabs>
        <w:ind w:hanging="3600" w:start="3960" w:end="0"/>
        <w:rPr/>
      </w:pPr>
      <w:r>
        <w:rPr>
          <w:rFonts w:cs="Arial" w:ascii="Arial" w:hAnsi="Arial"/>
          <w:b/>
          <w:bCs/>
          <w:u w:val="single"/>
        </w:rPr>
        <w:t>Monday, May 21</w:t>
      </w:r>
      <w:r>
        <w:rPr>
          <w:rFonts w:cs="Arial" w:ascii="Arial" w:hAnsi="Arial"/>
          <w:b/>
          <w:bCs/>
          <w:u w:val="single"/>
          <w:vertAlign w:val="superscript"/>
        </w:rPr>
        <w:t>st</w:t>
      </w:r>
      <w:r>
        <w:rPr>
          <w:rFonts w:cs="Arial" w:ascii="Arial" w:hAnsi="Arial"/>
          <w:b/>
          <w:bCs/>
          <w:u w:val="single"/>
        </w:rPr>
        <w:t>:</w:t>
      </w:r>
    </w:p>
    <w:p>
      <w:pPr>
        <w:pStyle w:val="Normal"/>
        <w:numPr>
          <w:ilvl w:val="0"/>
          <w:numId w:val="3"/>
        </w:numPr>
        <w:rPr/>
      </w:pPr>
      <w:r>
        <w:rPr>
          <w:b/>
          <w:bCs/>
        </w:rPr>
        <w:t>Early morning</w:t>
      </w:r>
      <w:r>
        <w:rPr/>
        <w:t xml:space="preserve"> - Conference calls with Participating Transmission Owners (PTOs) to determine available generation inside and outside California</w:t>
      </w:r>
    </w:p>
    <w:p>
      <w:pPr>
        <w:pStyle w:val="Normal"/>
        <w:rPr>
          <w:sz w:val="16"/>
        </w:rPr>
      </w:pPr>
      <w:r>
        <w:rPr>
          <w:sz w:val="16"/>
        </w:rPr>
      </w:r>
    </w:p>
    <w:p>
      <w:pPr>
        <w:pStyle w:val="Normal"/>
        <w:numPr>
          <w:ilvl w:val="0"/>
          <w:numId w:val="3"/>
        </w:numPr>
        <w:rPr/>
      </w:pPr>
      <w:r>
        <w:rPr>
          <w:b/>
          <w:bCs/>
        </w:rPr>
        <w:t xml:space="preserve">10:30am </w:t>
      </w:r>
      <w:r>
        <w:rPr/>
        <w:t xml:space="preserve">- </w:t>
      </w:r>
      <w:r>
        <w:rPr>
          <w:rFonts w:cs="Lucida Sans" w:ascii="Lucida Sans" w:hAnsi="Lucida Sans"/>
          <w:b/>
          <w:bCs/>
        </w:rPr>
        <w:t>Stage 1 Emergency</w:t>
      </w:r>
      <w:r>
        <w:rPr/>
        <w:t xml:space="preserve"> (reserves below 7%) declared;  PTOs requested to call on resources “within their contractual control,” e.g., mutual assistance arrangements with municipal utilities (eventually, a total of 341 MW is procured this way, and the ISO thanked the munis for their assistance)</w:t>
      </w:r>
    </w:p>
    <w:p>
      <w:pPr>
        <w:pStyle w:val="Normal"/>
        <w:rPr>
          <w:sz w:val="16"/>
        </w:rPr>
      </w:pPr>
      <w:r>
        <w:rPr>
          <w:sz w:val="16"/>
        </w:rPr>
      </w:r>
    </w:p>
    <w:p>
      <w:pPr>
        <w:pStyle w:val="Normal"/>
        <w:numPr>
          <w:ilvl w:val="0"/>
          <w:numId w:val="3"/>
        </w:numPr>
        <w:rPr/>
      </w:pPr>
      <w:r>
        <w:rPr>
          <w:b/>
          <w:bCs/>
        </w:rPr>
        <w:t>11:42am</w:t>
      </w:r>
      <w:r>
        <w:rPr/>
        <w:t xml:space="preserve"> – </w:t>
      </w:r>
      <w:r>
        <w:rPr>
          <w:rFonts w:cs="Lucida Sans" w:ascii="Lucida Sans" w:hAnsi="Lucida Sans"/>
          <w:b/>
          <w:bCs/>
        </w:rPr>
        <w:t>Stage 2 Emergency</w:t>
      </w:r>
      <w:r>
        <w:rPr/>
        <w:t xml:space="preserve"> (reserves below 5%) declared, effective 12:30pm; 1040 MW of load interruption requested from IOU voluntary load interruptible programs</w:t>
      </w:r>
    </w:p>
    <w:p>
      <w:pPr>
        <w:pStyle w:val="Normal"/>
        <w:rPr>
          <w:sz w:val="16"/>
        </w:rPr>
      </w:pPr>
      <w:r>
        <w:rPr>
          <w:sz w:val="16"/>
        </w:rPr>
      </w:r>
    </w:p>
    <w:p>
      <w:pPr>
        <w:pStyle w:val="Normal"/>
        <w:numPr>
          <w:ilvl w:val="0"/>
          <w:numId w:val="3"/>
        </w:numPr>
        <w:rPr>
          <w:i/>
          <w:i/>
          <w:iCs/>
        </w:rPr>
      </w:pPr>
      <w:r>
        <w:rPr>
          <w:b/>
          <w:bCs/>
        </w:rPr>
        <w:t>12:05pm</w:t>
      </w:r>
      <w:r>
        <w:rPr/>
        <w:t xml:space="preserve"> – Load interruption request recalled (but Stage 2 Emergency declaration left in place, because low reserve situation still anticipated for later that day) upon discovery of 1561 MW ISO error in calculation of Supplemental Energy availability over the interties into California </w:t>
      </w:r>
    </w:p>
    <w:p>
      <w:pPr>
        <w:pStyle w:val="Normal"/>
        <w:rPr>
          <w:i/>
          <w:i/>
          <w:iCs/>
          <w:sz w:val="16"/>
        </w:rPr>
      </w:pPr>
      <w:r>
        <w:rPr>
          <w:i/>
          <w:iCs/>
          <w:sz w:val="16"/>
        </w:rPr>
      </w:r>
    </w:p>
    <w:p>
      <w:pPr>
        <w:pStyle w:val="Normal"/>
        <w:ind w:start="360" w:end="0"/>
        <w:rPr>
          <w:i/>
          <w:i/>
          <w:iCs/>
        </w:rPr>
      </w:pPr>
      <w:r>
        <w:rPr>
          <w:i/>
          <w:iCs/>
        </w:rPr>
        <w:t>(The ISO also bought about 2100 MW of Out-of-Market generation from other Control Areas, at prices up to $750/MW, because it expected to exhaust all the Supplemental Energy bid in its market.  Only about half as much Supplemental Energy was bid in the market as usual, and suspicions were voiced that generation was intentionally withheld from the market to drive up prices.  However, the ISO isn’t sure yet whether the reduction in bids was due to withholding, or because that “missing” generation was, among other possibilities:</w:t>
      </w:r>
    </w:p>
    <w:p>
      <w:pPr>
        <w:pStyle w:val="Normal"/>
        <w:numPr>
          <w:ilvl w:val="1"/>
          <w:numId w:val="3"/>
        </w:numPr>
        <w:tabs>
          <w:tab w:val="clear" w:pos="720"/>
          <w:tab w:val="left" w:pos="900" w:leader="none"/>
        </w:tabs>
        <w:ind w:hanging="720" w:start="1260" w:end="0"/>
        <w:rPr>
          <w:i/>
          <w:i/>
          <w:iCs/>
        </w:rPr>
      </w:pPr>
      <w:r>
        <w:rPr>
          <w:i/>
          <w:iCs/>
        </w:rPr>
        <w:t>Out of service (see above);</w:t>
      </w:r>
    </w:p>
    <w:p>
      <w:pPr>
        <w:pStyle w:val="Normal"/>
        <w:numPr>
          <w:ilvl w:val="1"/>
          <w:numId w:val="3"/>
        </w:numPr>
        <w:tabs>
          <w:tab w:val="clear" w:pos="720"/>
          <w:tab w:val="left" w:pos="900" w:leader="none"/>
        </w:tabs>
        <w:ind w:hanging="720" w:start="1260" w:end="0"/>
        <w:rPr>
          <w:i/>
          <w:i/>
          <w:iCs/>
        </w:rPr>
      </w:pPr>
      <w:r>
        <w:rPr>
          <w:i/>
          <w:iCs/>
        </w:rPr>
        <w:t xml:space="preserve">In the forward energy market, in place of some of the units that were out of service; </w:t>
      </w:r>
    </w:p>
    <w:p>
      <w:pPr>
        <w:pStyle w:val="Normal"/>
        <w:numPr>
          <w:ilvl w:val="1"/>
          <w:numId w:val="3"/>
        </w:numPr>
        <w:tabs>
          <w:tab w:val="clear" w:pos="720"/>
          <w:tab w:val="left" w:pos="900" w:leader="none"/>
        </w:tabs>
        <w:ind w:hanging="720" w:start="1260" w:end="0"/>
        <w:rPr>
          <w:i/>
          <w:i/>
          <w:iCs/>
        </w:rPr>
      </w:pPr>
      <w:r>
        <w:rPr>
          <w:i/>
          <w:iCs/>
        </w:rPr>
        <w:t>Serving exports (prices in the Southwest were over $750);  and/or</w:t>
      </w:r>
    </w:p>
    <w:p>
      <w:pPr>
        <w:pStyle w:val="Normal"/>
        <w:numPr>
          <w:ilvl w:val="1"/>
          <w:numId w:val="3"/>
        </w:numPr>
        <w:tabs>
          <w:tab w:val="clear" w:pos="720"/>
          <w:tab w:val="left" w:pos="900" w:leader="none"/>
        </w:tabs>
        <w:ind w:hanging="720" w:start="1260" w:end="0"/>
        <w:rPr>
          <w:i/>
          <w:i/>
          <w:iCs/>
        </w:rPr>
      </w:pPr>
      <w:r>
        <w:rPr>
          <w:i/>
          <w:iCs/>
        </w:rPr>
        <w:t xml:space="preserve">Generating in real time through uninstructed deviations, to take advantage of the high market prices. </w:t>
      </w:r>
    </w:p>
    <w:p>
      <w:pPr>
        <w:pStyle w:val="Footer"/>
        <w:tabs>
          <w:tab w:val="clear" w:pos="4320"/>
          <w:tab w:val="clear" w:pos="8640"/>
        </w:tabs>
        <w:rPr>
          <w:i/>
          <w:i/>
          <w:iCs/>
          <w:sz w:val="16"/>
        </w:rPr>
      </w:pPr>
      <w:r>
        <w:rPr>
          <w:i/>
          <w:iCs/>
          <w:sz w:val="16"/>
        </w:rPr>
      </w:r>
    </w:p>
    <w:p>
      <w:pPr>
        <w:pStyle w:val="Normal"/>
        <w:numPr>
          <w:ilvl w:val="0"/>
          <w:numId w:val="3"/>
        </w:numPr>
        <w:rPr/>
      </w:pPr>
      <w:r>
        <w:rPr>
          <w:b/>
          <w:bCs/>
        </w:rPr>
        <w:t>2:05pm</w:t>
      </w:r>
      <w:r>
        <w:rPr/>
        <w:t xml:space="preserve"> – ISO requested activation of 800MW of IOU voluntary load interruptible programs (412MW for PG&amp;E, 348MW for SCE, 40MW for SDG&amp;E), for interruption at 2:24pm</w:t>
      </w:r>
    </w:p>
    <w:p>
      <w:pPr>
        <w:pStyle w:val="Normal"/>
        <w:rPr>
          <w:sz w:val="16"/>
        </w:rPr>
      </w:pPr>
      <w:r>
        <w:rPr>
          <w:sz w:val="16"/>
        </w:rPr>
      </w:r>
    </w:p>
    <w:p>
      <w:pPr>
        <w:pStyle w:val="Normal"/>
        <w:numPr>
          <w:ilvl w:val="0"/>
          <w:numId w:val="3"/>
        </w:numPr>
        <w:rPr/>
      </w:pPr>
      <w:r>
        <w:rPr>
          <w:b/>
          <w:bCs/>
        </w:rPr>
        <w:t>4:37pm</w:t>
      </w:r>
      <w:r>
        <w:rPr/>
        <w:t xml:space="preserve"> - Notice of Stage 2 Emergency cancellation, effective at 5pm</w:t>
      </w:r>
    </w:p>
    <w:p>
      <w:pPr>
        <w:pStyle w:val="Normal"/>
        <w:rPr/>
      </w:pPr>
      <w:r>
        <w:rPr/>
      </w:r>
    </w:p>
    <w:p>
      <w:pPr>
        <w:pStyle w:val="Normal"/>
        <w:numPr>
          <w:ilvl w:val="0"/>
          <w:numId w:val="3"/>
        </w:numPr>
        <w:rPr/>
      </w:pPr>
      <w:r>
        <w:rPr>
          <w:b/>
          <w:bCs/>
        </w:rPr>
        <w:t>5:37pm</w:t>
      </w:r>
      <w:r>
        <w:rPr/>
        <w:t xml:space="preserve"> – Notice of Stage 1 Emergency cancellation, effective at 6pm</w:t>
      </w:r>
    </w:p>
    <w:p>
      <w:pPr>
        <w:pStyle w:val="Normal"/>
        <w:rPr/>
      </w:pPr>
      <w:r>
        <w:rPr/>
      </w:r>
    </w:p>
    <w:p>
      <w:pPr>
        <w:pStyle w:val="Heading3"/>
        <w:pBdr>
          <w:top w:val="single" w:sz="8" w:space="1" w:color="000000" w:shadow="1"/>
          <w:left w:val="single" w:sz="8" w:space="4" w:color="000000" w:shadow="1"/>
          <w:bottom w:val="single" w:sz="8" w:space="1" w:color="000000" w:shadow="1"/>
          <w:right w:val="single" w:sz="8" w:space="4" w:color="000000" w:shadow="1"/>
        </w:pBdr>
        <w:ind w:hanging="0" w:start="0"/>
        <w:rPr>
          <w:rFonts w:ascii="Lucida Sans" w:hAnsi="Lucida Sans" w:cs="Lucida Sans Unicode"/>
        </w:rPr>
      </w:pPr>
      <w:r>
        <w:rPr>
          <w:rFonts w:cs="Lucida Sans Unicode" w:ascii="Lucida Sans" w:hAnsi="Lucida Sans"/>
        </w:rPr>
        <w:t>Large magnitude of load “under-scheduling”</w:t>
      </w:r>
    </w:p>
    <w:p>
      <w:pPr>
        <w:pStyle w:val="Normal"/>
        <w:rPr/>
      </w:pPr>
      <w:r>
        <w:rPr/>
        <w:t>Only about 33,400 MW of load was scheduled in the forward markets, compared to 40,840 MW of actual load, for over 7,400 MW of what the ISO termed “under-scheduled loads.”  It’s pretty clear, given the magnitude of the under-scheduling, that a large portion was attributable to the two large IOUs (PG&amp;E and SCE), and perhaps SDG&amp;E as well.</w:t>
      </w:r>
    </w:p>
    <w:p>
      <w:pPr>
        <w:pStyle w:val="Normal"/>
        <w:ind w:start="720" w:end="0"/>
        <w:rPr>
          <w:sz w:val="16"/>
        </w:rPr>
      </w:pPr>
      <w:r>
        <w:rPr>
          <w:sz w:val="16"/>
        </w:rPr>
      </w:r>
    </w:p>
    <w:p>
      <w:pPr>
        <w:pStyle w:val="Normal"/>
        <w:rPr/>
      </w:pPr>
      <w:r>
        <w:rPr/>
        <w:t>This under-scheduling was due to 2 factors:</w:t>
      </w:r>
    </w:p>
    <w:p>
      <w:pPr>
        <w:pStyle w:val="Normal"/>
        <w:numPr>
          <w:ilvl w:val="1"/>
          <w:numId w:val="3"/>
        </w:numPr>
        <w:tabs>
          <w:tab w:val="left" w:pos="720" w:leader="none"/>
        </w:tabs>
        <w:ind w:hanging="360" w:start="720" w:end="0"/>
        <w:rPr/>
      </w:pPr>
      <w:r>
        <w:rPr>
          <w:rFonts w:cs="Lucida Sans" w:ascii="Lucida Sans" w:hAnsi="Lucida Sans"/>
          <w:b/>
          <w:bCs/>
          <w:u w:val="single"/>
        </w:rPr>
        <w:t xml:space="preserve">Genuine forecast error: </w:t>
      </w:r>
      <w:r>
        <w:rPr/>
        <w:t xml:space="preserve"> The actual Monday demand was over 1,800 MW higher than the ISO’s own day-ahead forecast, and there’s no reason to suspect that the IOU forecast was any more accurate than the ISO’s;  moreover, it’s the practice of some small SCs to submit schedules on Friday for the following weekend and for Monday, so the higher forecasts later in the weekend weren’t reflected in the Monday schedules;  and</w:t>
      </w:r>
    </w:p>
    <w:p>
      <w:pPr>
        <w:pStyle w:val="Normal"/>
        <w:tabs>
          <w:tab w:val="left" w:pos="720" w:leader="none"/>
        </w:tabs>
        <w:ind w:hanging="360" w:start="720" w:end="0"/>
        <w:rPr>
          <w:sz w:val="16"/>
        </w:rPr>
      </w:pPr>
      <w:r>
        <w:rPr>
          <w:sz w:val="16"/>
        </w:rPr>
      </w:r>
    </w:p>
    <w:p>
      <w:pPr>
        <w:pStyle w:val="Normal"/>
        <w:numPr>
          <w:ilvl w:val="1"/>
          <w:numId w:val="3"/>
        </w:numPr>
        <w:tabs>
          <w:tab w:val="left" w:pos="720" w:leader="none"/>
        </w:tabs>
        <w:ind w:hanging="360" w:start="720" w:end="0"/>
        <w:rPr/>
      </w:pPr>
      <w:r>
        <w:rPr>
          <w:rFonts w:cs="Lucida Sans" w:ascii="Lucida Sans" w:hAnsi="Lucida Sans"/>
          <w:b/>
          <w:bCs/>
          <w:u w:val="single"/>
        </w:rPr>
        <w:t>Intentional underscheduling:</w:t>
      </w:r>
      <w:r>
        <w:rPr/>
        <w:t xml:space="preserve">  This is the first ISO meeting where I’ve heard the widely-acknowledged IOU practice of intentional load under-scheduling discussed in the open.  The ISO reported that there’s around 3-5,000 MW of load not scheduled in the forward markets on a regular basis and, with higher loads and higher forward-market energy prices, this amount was apparently much higher on May 22</w:t>
      </w:r>
      <w:r>
        <w:rPr>
          <w:vertAlign w:val="superscript"/>
        </w:rPr>
        <w:t>nd</w:t>
      </w:r>
      <w:r>
        <w:rPr/>
        <w:t>.</w:t>
      </w:r>
    </w:p>
    <w:p>
      <w:pPr>
        <w:pStyle w:val="Normal"/>
        <w:rPr>
          <w:sz w:val="16"/>
        </w:rPr>
      </w:pPr>
      <w:r>
        <w:rPr>
          <w:sz w:val="16"/>
        </w:rPr>
      </w:r>
    </w:p>
    <w:p>
      <w:pPr>
        <w:pStyle w:val="Heading4"/>
        <w:ind w:hanging="0" w:start="0"/>
        <w:rPr>
          <w:rFonts w:ascii="BookmanITC Lt BT" w:hAnsi="BookmanITC Lt BT" w:cs="Times New Roman"/>
        </w:rPr>
      </w:pPr>
      <w:r>
        <w:rPr>
          <w:rFonts w:cs="Times New Roman" w:ascii="BookmanITC Lt BT" w:hAnsi="BookmanITC Lt BT"/>
        </w:rPr>
        <w:t>Why under-scheduling is rational behavior, or “everybody does it”</w:t>
      </w:r>
    </w:p>
    <w:p>
      <w:pPr>
        <w:pStyle w:val="Normal"/>
        <w:rPr/>
      </w:pPr>
      <w:r>
        <w:rPr/>
        <w:t xml:space="preserve">The PX is an energy exchange market, where both load and generation submit different demand and supply levels, respectively, for various price levels.  When scheduled loads are high, more generation is purchased and, all other things equal, the market clears at higher prices.  </w:t>
      </w:r>
    </w:p>
    <w:p>
      <w:pPr>
        <w:pStyle w:val="Normal"/>
        <w:rPr>
          <w:sz w:val="16"/>
        </w:rPr>
      </w:pPr>
      <w:r>
        <w:rPr>
          <w:sz w:val="16"/>
        </w:rPr>
      </w:r>
    </w:p>
    <w:p>
      <w:pPr>
        <w:pStyle w:val="Normal"/>
        <w:rPr/>
      </w:pPr>
      <w:r>
        <w:rPr/>
        <w:t xml:space="preserve">A large portion of the generation is bid in at a zero price (e.g., nuclear, QF, and run-of-the-river hydroelectricity, as well as certain other bilateral transactions) – effectively, it receives whatever price clears the market, with cost recovery addressed through other arrangements (e.g., QF contract payments from utilities).  The amount of price-responsive generation in the PX is thus relatively small, especially when large amounts of generation are out of service </w:t>
      </w:r>
      <w:r>
        <w:rPr>
          <w:i/>
          <w:iCs/>
        </w:rPr>
        <w:t>(or scheduled by another SC outside the PX market, more common as the large utility thermal plants have passed into non-utility hands)</w:t>
      </w:r>
      <w:r>
        <w:rPr/>
        <w:t xml:space="preserve">. </w:t>
      </w:r>
    </w:p>
    <w:p>
      <w:pPr>
        <w:pStyle w:val="Footer"/>
        <w:tabs>
          <w:tab w:val="clear" w:pos="4320"/>
          <w:tab w:val="clear" w:pos="8640"/>
        </w:tabs>
        <w:rPr>
          <w:sz w:val="16"/>
        </w:rPr>
      </w:pPr>
      <w:r>
        <w:rPr/>
        <w:t xml:space="preserve"> </w:t>
      </w:r>
    </w:p>
    <w:p>
      <w:pPr>
        <w:pStyle w:val="Normal"/>
        <w:rPr>
          <w:sz w:val="16"/>
        </w:rPr>
      </w:pPr>
      <w:r>
        <w:rPr>
          <w:sz w:val="16"/>
        </w:rPr>
      </w:r>
    </w:p>
    <w:p>
      <w:pPr>
        <w:pStyle w:val="Normal"/>
        <w:rPr/>
      </w:pPr>
      <w:r>
        <w:rPr/>
        <w:t>In a thin market, even small changes in demand can have a dramatic impact on the clearing price.  It’s generally believed (and was pretty much acknowledged at the meeting) that the IOUs estimate likely clearing prices in the PX and the trade-offs between:</w:t>
      </w:r>
    </w:p>
    <w:p>
      <w:pPr>
        <w:pStyle w:val="Normal"/>
        <w:rPr>
          <w:sz w:val="16"/>
        </w:rPr>
      </w:pPr>
      <w:r>
        <w:rPr>
          <w:sz w:val="16"/>
        </w:rPr>
      </w:r>
    </w:p>
    <w:p>
      <w:pPr>
        <w:pStyle w:val="Normal"/>
        <w:numPr>
          <w:ilvl w:val="0"/>
          <w:numId w:val="4"/>
        </w:numPr>
        <w:rPr/>
      </w:pPr>
      <w:r>
        <w:rPr/>
        <w:t xml:space="preserve">The savings from lower PX forward-market clearing prices from scheduling less than the forecasted load in the forward (PX) market;  vs. </w:t>
      </w:r>
    </w:p>
    <w:p>
      <w:pPr>
        <w:pStyle w:val="Normal"/>
        <w:ind w:start="360" w:end="0"/>
        <w:rPr>
          <w:sz w:val="16"/>
        </w:rPr>
      </w:pPr>
      <w:r>
        <w:rPr>
          <w:sz w:val="16"/>
        </w:rPr>
      </w:r>
    </w:p>
    <w:p>
      <w:pPr>
        <w:pStyle w:val="Normal"/>
        <w:numPr>
          <w:ilvl w:val="0"/>
          <w:numId w:val="4"/>
        </w:numPr>
        <w:rPr/>
      </w:pPr>
      <w:r>
        <w:rPr/>
        <w:t>The additional cost for the un-scheduled load at what would (under these conditions) likely be a higher ISO Imbalance Energy price (plus an allocation of Deviation Replacement Reserve).</w:t>
      </w:r>
    </w:p>
    <w:p>
      <w:pPr>
        <w:pStyle w:val="Normal"/>
        <w:rPr>
          <w:sz w:val="16"/>
        </w:rPr>
      </w:pPr>
      <w:r>
        <w:rPr>
          <w:sz w:val="16"/>
        </w:rPr>
      </w:r>
    </w:p>
    <w:p>
      <w:pPr>
        <w:pStyle w:val="Normal"/>
        <w:rPr/>
      </w:pPr>
      <w:r>
        <w:rPr/>
        <w:t>If the PX forward price (which would be applicable to most of the load even with the under-scheduling) can be kept even a little lower in this way, and the IOUs know that they will never be charged more than the ISO price cap of $750/MW for Imbalance Energy to serve the unscheduled loads, then intentionally “deferring load to real time” makes economic sense for the utilities.</w:t>
      </w:r>
    </w:p>
    <w:p>
      <w:pPr>
        <w:pStyle w:val="Normal"/>
        <w:rPr>
          <w:sz w:val="16"/>
        </w:rPr>
      </w:pPr>
      <w:r>
        <w:rPr>
          <w:sz w:val="16"/>
        </w:rPr>
      </w:r>
    </w:p>
    <w:p>
      <w:pPr>
        <w:pStyle w:val="Normal"/>
        <w:rPr/>
      </w:pPr>
      <w:r>
        <w:rPr/>
        <w:t xml:space="preserve">This leads to a series of very interesting market-power-related issues.  </w:t>
      </w:r>
    </w:p>
    <w:p>
      <w:pPr>
        <w:pStyle w:val="Normal"/>
        <w:rPr>
          <w:sz w:val="16"/>
        </w:rPr>
      </w:pPr>
      <w:r>
        <w:rPr>
          <w:sz w:val="16"/>
        </w:rPr>
      </w:r>
    </w:p>
    <w:p>
      <w:pPr>
        <w:pStyle w:val="Normal"/>
        <w:rPr/>
      </w:pPr>
      <w:r>
        <w:rPr/>
        <w:t xml:space="preserve">Clearly, moving around load in a manner to influence prices (as opposed to being a price-taker and moving between markets to take advantage different market prices) is as much of a market power exercise as generators doing the same thing.  </w:t>
      </w:r>
    </w:p>
    <w:p>
      <w:pPr>
        <w:pStyle w:val="Normal"/>
        <w:ind w:start="360" w:end="0"/>
        <w:rPr>
          <w:sz w:val="16"/>
        </w:rPr>
      </w:pPr>
      <w:r>
        <w:rPr>
          <w:sz w:val="16"/>
        </w:rPr>
      </w:r>
    </w:p>
    <w:p>
      <w:pPr>
        <w:pStyle w:val="Normal"/>
        <w:rPr/>
      </w:pPr>
      <w:r>
        <w:rPr/>
        <w:t xml:space="preserve">Load representatives maintained, in off-line conversations, that their actions of “load withholding” were an appropriate reaction to generators with market power doing exactly that – withholding generation from the forward markets to drive up prices.  Supporting this perspective, Chair Frank Wolak of the Market Surveillance Committee (at last Friday’s meeting) pronounced himself not at all troubled, as an economist, to see this kind of entirely rational behavior </w:t>
      </w:r>
      <w:r>
        <w:rPr>
          <w:i/>
          <w:iCs/>
        </w:rPr>
        <w:t>(though he understood that there may be reliability implications – more on that below)</w:t>
      </w:r>
      <w:r>
        <w:rPr/>
        <w:t>.</w:t>
      </w:r>
    </w:p>
    <w:p>
      <w:pPr>
        <w:pStyle w:val="Normal"/>
        <w:rPr>
          <w:sz w:val="16"/>
        </w:rPr>
      </w:pPr>
      <w:r>
        <w:rPr>
          <w:sz w:val="16"/>
        </w:rPr>
      </w:r>
    </w:p>
    <w:p>
      <w:pPr>
        <w:pStyle w:val="Normal"/>
        <w:rPr/>
      </w:pPr>
      <w:r>
        <w:rPr/>
        <w:t>However, generators have told me that they do this to avoid the IOUs’ exercise of market power in the forward markets.  They’ve expressed frustration at the ISO’s disinterest in investigating what they consider IOU market-manipulating behavior and focusing just on generator market power exercise.</w:t>
      </w:r>
    </w:p>
    <w:p>
      <w:pPr>
        <w:pStyle w:val="Normal"/>
        <w:rPr>
          <w:sz w:val="16"/>
        </w:rPr>
      </w:pPr>
      <w:r>
        <w:rPr>
          <w:sz w:val="16"/>
        </w:rPr>
      </w:r>
    </w:p>
    <w:p>
      <w:pPr>
        <w:pStyle w:val="Normal"/>
        <w:rPr/>
      </w:pPr>
      <w:r>
        <w:rPr/>
        <w:t xml:space="preserve">So, is it possible that all these elaborate machinations by loads and generators just cancel each other out?  Probably to at least some degree – and the question of whose market power is the more effective will probably make for a good economics journal article somewhere down the road.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pBdr>
          <w:top w:val="single" w:sz="8" w:space="1" w:color="000000" w:shadow="1"/>
          <w:left w:val="single" w:sz="8" w:space="4" w:color="000000" w:shadow="1"/>
          <w:bottom w:val="single" w:sz="8" w:space="1" w:color="000000" w:shadow="1"/>
          <w:right w:val="single" w:sz="8" w:space="4" w:color="000000" w:shadow="1"/>
        </w:pBdr>
        <w:ind w:hanging="0" w:start="0"/>
        <w:rPr>
          <w:rFonts w:ascii="Lucida Sans" w:hAnsi="Lucida Sans" w:cs="Lucida Sans Unicode"/>
        </w:rPr>
      </w:pPr>
      <w:r>
        <w:rPr>
          <w:rFonts w:cs="Lucida Sans Unicode" w:ascii="Lucida Sans" w:hAnsi="Lucida Sans"/>
        </w:rPr>
        <w:t>Lessons learned</w:t>
      </w:r>
    </w:p>
    <w:p>
      <w:pPr>
        <w:pStyle w:val="Normal"/>
        <w:rPr/>
      </w:pPr>
      <w:r>
        <w:rPr/>
        <w:t>Overall, the ISO believes that the ISO and utility personnel performed well, as did the electrical system.  However, the event is still under review.</w:t>
      </w:r>
    </w:p>
    <w:p>
      <w:pPr>
        <w:pStyle w:val="Normal"/>
        <w:rPr>
          <w:sz w:val="16"/>
        </w:rPr>
      </w:pPr>
      <w:r>
        <w:rPr>
          <w:sz w:val="16"/>
        </w:rPr>
      </w:r>
    </w:p>
    <w:p>
      <w:pPr>
        <w:pStyle w:val="Normal"/>
        <w:rPr/>
      </w:pPr>
      <w:r>
        <w:rPr/>
        <w:t>The following areas have been identified so far for improvement in the future:</w:t>
      </w:r>
    </w:p>
    <w:p>
      <w:pPr>
        <w:pStyle w:val="Normal"/>
        <w:rPr>
          <w:sz w:val="16"/>
        </w:rPr>
      </w:pPr>
      <w:r>
        <w:rPr>
          <w:sz w:val="16"/>
        </w:rPr>
      </w:r>
    </w:p>
    <w:p>
      <w:pPr>
        <w:pStyle w:val="Normal"/>
        <w:numPr>
          <w:ilvl w:val="0"/>
          <w:numId w:val="2"/>
        </w:numPr>
        <w:rPr/>
      </w:pPr>
      <w:r>
        <w:rPr/>
        <w:t>The ISO will review procedures for determining Out-of-Market requirements and calculating Supplemental Energy supplies</w:t>
      </w:r>
    </w:p>
    <w:p>
      <w:pPr>
        <w:pStyle w:val="Normal"/>
        <w:numPr>
          <w:ilvl w:val="0"/>
          <w:numId w:val="2"/>
        </w:numPr>
        <w:rPr/>
      </w:pPr>
      <w:r>
        <w:rPr/>
        <w:t>The ISO and IOUs will be conducting further drills, to improve communication</w:t>
      </w:r>
    </w:p>
    <w:p>
      <w:pPr>
        <w:pStyle w:val="Normal"/>
        <w:numPr>
          <w:ilvl w:val="0"/>
          <w:numId w:val="2"/>
        </w:numPr>
        <w:rPr/>
      </w:pPr>
      <w:r>
        <w:rPr/>
        <w:t>The IOU/TOs will be working on improving communication with Munis</w:t>
      </w:r>
    </w:p>
    <w:p>
      <w:pPr>
        <w:pStyle w:val="Normal"/>
        <w:numPr>
          <w:ilvl w:val="0"/>
          <w:numId w:val="2"/>
        </w:numPr>
        <w:rPr/>
      </w:pPr>
      <w:r>
        <w:rPr/>
        <w:t>The ISO will work with the IOUs to improve communication with end-use customers</w:t>
      </w:r>
    </w:p>
    <w:p>
      <w:pPr>
        <w:pStyle w:val="Normal"/>
        <w:numPr>
          <w:ilvl w:val="0"/>
          <w:numId w:val="2"/>
        </w:numPr>
        <w:rPr/>
      </w:pPr>
      <w:r>
        <w:rPr/>
        <w:t>The ISO will review procedures for scheduled outage cancellations on “No Touch” days</w:t>
      </w:r>
    </w:p>
    <w:p>
      <w:pPr>
        <w:pStyle w:val="Normal"/>
        <w:numPr>
          <w:ilvl w:val="0"/>
          <w:numId w:val="2"/>
        </w:numPr>
        <w:rPr/>
      </w:pPr>
      <w:r>
        <w:rPr/>
        <w:t>The ISO will consider increasing Replacement Reserve purchases in the forward markets to cover potential under-scheduling</w:t>
      </w:r>
    </w:p>
    <w:p>
      <w:pPr>
        <w:pStyle w:val="Footer"/>
        <w:tabs>
          <w:tab w:val="clear" w:pos="4320"/>
          <w:tab w:val="clear" w:pos="8640"/>
        </w:tabs>
        <w:rPr>
          <w:rFonts w:ascii="Lucida Sans" w:hAnsi="Lucida Sans" w:cs="Lucida Sans"/>
          <w:sz w:val="16"/>
        </w:rPr>
      </w:pPr>
      <w:r>
        <w:rPr>
          <w:rFonts w:cs="Lucida Sans" w:ascii="Lucida Sans" w:hAnsi="Lucida Sans"/>
          <w:sz w:val="16"/>
        </w:rPr>
      </w:r>
    </w:p>
    <w:p>
      <w:pPr>
        <w:pStyle w:val="Normal"/>
        <w:rPr/>
      </w:pPr>
      <w:r>
        <w:rPr/>
        <w:t>There was an objection from SCE on this last point.  A portion of Replacement Reserve (“Deviation Replacement Reserve”) is meant to cover, if necessary, forecasted but unscheduled load that materializes in real time, in case the SC who’s responsible doesn’t cover it.  The cost is allocated to the SCs who under-schedule, even if they do cover their load in real time.  SCE objected even to the current allocation as a penalty for load exercising its right to participate in the real-time market instead of the forward market.</w:t>
      </w:r>
    </w:p>
    <w:p>
      <w:pPr>
        <w:pStyle w:val="Normal"/>
        <w:rPr>
          <w:sz w:val="16"/>
        </w:rPr>
      </w:pPr>
      <w:r>
        <w:rPr>
          <w:sz w:val="16"/>
        </w:rPr>
      </w:r>
    </w:p>
    <w:p>
      <w:pPr>
        <w:pStyle w:val="Normal"/>
        <w:rPr/>
      </w:pPr>
      <w:r>
        <w:rPr/>
        <w:t>There’s some logic in SCE’s argument.  Under-scheduling is effectively a refusal to buy generation in the forward market;  if the ISO then buys that generation as Replacement Reserve to cover the load in real time, and then allocates the cost to the SCs (and the IOUs) who under-schedule, it does undercut that strategy.  However, there also reliability implications if the ISO doesn’t buy this protection.</w:t>
      </w:r>
    </w:p>
    <w:p>
      <w:pPr>
        <w:pStyle w:val="Normal"/>
        <w:rPr/>
      </w:pPr>
      <w:r>
        <w:rPr/>
      </w:r>
    </w:p>
    <w:p>
      <w:pPr>
        <w:pStyle w:val="Normal"/>
        <w:rPr/>
      </w:pPr>
      <w:r>
        <w:rPr/>
        <w:t xml:space="preserve">It should be an interesting follow-up discussion, if SCE intends to push this issue. </w:t>
      </w:r>
    </w:p>
    <w:p>
      <w:pPr>
        <w:pStyle w:val="Normal"/>
        <w:rPr/>
      </w:pPr>
      <w:r>
        <w:rPr/>
      </w:r>
    </w:p>
    <w:p>
      <w:pPr>
        <w:pStyle w:val="Normal"/>
        <w:rPr/>
      </w:pPr>
      <w:r>
        <w:rPr/>
      </w:r>
      <w:r>
        <w:br w:type="page"/>
      </w:r>
    </w:p>
    <w:p>
      <w:pPr>
        <w:pStyle w:val="Normal"/>
        <w:jc w:val="end"/>
        <w:rPr>
          <w:b/>
          <w:bCs/>
        </w:rPr>
      </w:pPr>
      <w:r>
        <w:rPr>
          <w:b/>
          <w:bCs/>
        </w:rPr>
        <w:t>Appendix</w:t>
      </w:r>
    </w:p>
    <w:p>
      <w:pPr>
        <w:pStyle w:val="Heading"/>
        <w:pBdr>
          <w:top w:val="single" w:sz="12" w:space="1" w:color="0000FF" w:shadow="1"/>
          <w:left w:val="single" w:sz="12" w:space="4" w:color="0000FF" w:shadow="1"/>
          <w:bottom w:val="single" w:sz="12" w:space="1" w:color="0000FF" w:shadow="1"/>
          <w:right w:val="single" w:sz="12" w:space="4" w:color="0000FF" w:shadow="1"/>
        </w:pBdr>
        <w:rPr/>
      </w:pPr>
      <w:r>
        <w:rPr/>
        <w:t>ELECTRICAL EMERGENCY PLAN STAGES</w:t>
      </w:r>
    </w:p>
    <w:p>
      <w:pPr>
        <w:pStyle w:val="Normal"/>
        <w:rPr/>
      </w:pPr>
      <w:r>
        <w:rPr/>
      </w:r>
    </w:p>
    <w:p>
      <w:pPr>
        <w:pStyle w:val="Normal"/>
        <w:rPr/>
      </w:pPr>
      <w:r>
        <w:rPr/>
      </w:r>
    </w:p>
    <w:p>
      <w:pPr>
        <w:pStyle w:val="BodyText"/>
        <w:rPr>
          <w:rFonts w:ascii="Lucida Sans" w:hAnsi="Lucida Sans" w:cs="Lucida Sans"/>
          <w:b/>
          <w:bCs/>
          <w:u w:val="single"/>
        </w:rPr>
      </w:pPr>
      <w:r>
        <w:rPr>
          <w:rFonts w:cs="Lucida Sans" w:ascii="Lucida Sans" w:hAnsi="Lucida Sans"/>
          <w:b/>
          <w:bCs/>
          <w:u w:val="single"/>
        </w:rPr>
        <w:t>Market alert or Warning:  Supplemental Energy bid into the market running low.</w:t>
      </w:r>
    </w:p>
    <w:p>
      <w:pPr>
        <w:pStyle w:val="BodyText"/>
        <w:rPr>
          <w:rFonts w:ascii="Lucida Sans" w:hAnsi="Lucida Sans" w:cs="Lucida Sans"/>
          <w:b/>
          <w:bCs/>
          <w:sz w:val="16"/>
          <w:u w:val="single"/>
        </w:rPr>
      </w:pPr>
      <w:r>
        <w:rPr>
          <w:rFonts w:cs="Lucida Sans" w:ascii="Lucida Sans" w:hAnsi="Lucida Sans"/>
          <w:b/>
          <w:bCs/>
          <w:sz w:val="16"/>
          <w:u w:val="single"/>
        </w:rPr>
      </w:r>
    </w:p>
    <w:p>
      <w:pPr>
        <w:pStyle w:val="Normal"/>
        <w:numPr>
          <w:ilvl w:val="0"/>
          <w:numId w:val="7"/>
        </w:numPr>
        <w:rPr/>
      </w:pPr>
      <w:r>
        <w:rPr/>
        <w:t>Out-of-Market calls to ISO Control Area resources that haven’t bid in;</w:t>
      </w:r>
    </w:p>
    <w:p>
      <w:pPr>
        <w:pStyle w:val="Normal"/>
        <w:numPr>
          <w:ilvl w:val="0"/>
          <w:numId w:val="7"/>
        </w:numPr>
        <w:rPr/>
      </w:pPr>
      <w:r>
        <w:rPr/>
        <w:t xml:space="preserve">ISO deals with adjacent control areas </w:t>
      </w:r>
    </w:p>
    <w:p>
      <w:pPr>
        <w:pStyle w:val="Normal"/>
        <w:rPr/>
      </w:pPr>
      <w:r>
        <w:rPr/>
      </w:r>
    </w:p>
    <w:p>
      <w:pPr>
        <w:pStyle w:val="Normal"/>
        <w:rPr/>
      </w:pPr>
      <w:r>
        <w:rPr/>
      </w:r>
    </w:p>
    <w:p>
      <w:pPr>
        <w:pStyle w:val="BodyText2"/>
        <w:shd w:fill="auto" w:val="clear"/>
        <w:rPr>
          <w:rFonts w:ascii="Lucida Sans" w:hAnsi="Lucida Sans" w:cs="Lucida Sans"/>
          <w:sz w:val="24"/>
          <w:u w:val="single"/>
        </w:rPr>
      </w:pPr>
      <w:r>
        <w:rPr>
          <w:rFonts w:cs="Lucida Sans" w:ascii="Lucida Sans" w:hAnsi="Lucida Sans"/>
          <w:sz w:val="24"/>
          <w:u w:val="single"/>
        </w:rPr>
        <w:t>Stage 1 Emergency:  After all the above efforts have been undertaken, if ISO grid-wide reserves are expected to fall below 7%.</w:t>
      </w:r>
    </w:p>
    <w:p>
      <w:pPr>
        <w:pStyle w:val="BodyText2"/>
        <w:shd w:fill="auto" w:val="clear"/>
        <w:rPr>
          <w:rFonts w:ascii="Lucida Sans" w:hAnsi="Lucida Sans" w:cs="Lucida Sans"/>
          <w:sz w:val="16"/>
          <w:u w:val="single"/>
        </w:rPr>
      </w:pPr>
      <w:r>
        <w:rPr>
          <w:rFonts w:cs="Lucida Sans" w:ascii="Lucida Sans" w:hAnsi="Lucida Sans"/>
          <w:sz w:val="16"/>
          <w:u w:val="single"/>
        </w:rPr>
      </w:r>
    </w:p>
    <w:p>
      <w:pPr>
        <w:pStyle w:val="Normal"/>
        <w:numPr>
          <w:ilvl w:val="0"/>
          <w:numId w:val="7"/>
        </w:numPr>
        <w:rPr/>
      </w:pPr>
      <w:r>
        <w:rPr/>
        <w:t>Public appeals by UDCs, by radio, TV, and print media;</w:t>
      </w:r>
    </w:p>
    <w:p>
      <w:pPr>
        <w:pStyle w:val="Normal"/>
        <w:numPr>
          <w:ilvl w:val="0"/>
          <w:numId w:val="7"/>
        </w:numPr>
        <w:rPr/>
      </w:pPr>
      <w:r>
        <w:rPr/>
        <w:t>ISO and UDCs cooperative efforts to get a better response;</w:t>
      </w:r>
    </w:p>
    <w:p>
      <w:pPr>
        <w:pStyle w:val="Normal"/>
        <w:numPr>
          <w:ilvl w:val="0"/>
          <w:numId w:val="7"/>
        </w:numPr>
        <w:rPr/>
      </w:pPr>
      <w:r>
        <w:rPr/>
        <w:t xml:space="preserve">UDC/PTOs requested to acquire resources within their contractual control (e.g., mutual assistance agreements with munis) </w:t>
      </w:r>
    </w:p>
    <w:p>
      <w:pPr>
        <w:pStyle w:val="Normal"/>
        <w:ind w:start="360" w:end="0"/>
        <w:rPr/>
      </w:pPr>
      <w:r>
        <w:rPr/>
      </w:r>
    </w:p>
    <w:p>
      <w:pPr>
        <w:pStyle w:val="Normal"/>
        <w:ind w:start="360" w:end="0"/>
        <w:rPr/>
      </w:pPr>
      <w:r>
        <w:rPr/>
      </w:r>
    </w:p>
    <w:p>
      <w:pPr>
        <w:pStyle w:val="BodyText2"/>
        <w:shd w:fill="auto" w:val="clear"/>
        <w:rPr>
          <w:rFonts w:ascii="Lucida Sans" w:hAnsi="Lucida Sans" w:cs="Lucida Sans"/>
          <w:sz w:val="24"/>
          <w:u w:val="single"/>
        </w:rPr>
      </w:pPr>
      <w:r>
        <w:rPr>
          <w:rFonts w:cs="Lucida Sans" w:ascii="Lucida Sans" w:hAnsi="Lucida Sans"/>
          <w:sz w:val="24"/>
          <w:u w:val="single"/>
        </w:rPr>
        <w:t>Stage 2 Emergency:  ISO grid-wide reserves expected to fall below 5% (in violation of WSCC criteria).</w:t>
      </w:r>
    </w:p>
    <w:p>
      <w:pPr>
        <w:pStyle w:val="BodyText2"/>
        <w:shd w:fill="auto" w:val="clear"/>
        <w:rPr>
          <w:rFonts w:ascii="Lucida Sans" w:hAnsi="Lucida Sans" w:cs="Lucida Sans"/>
          <w:sz w:val="16"/>
          <w:u w:val="single"/>
        </w:rPr>
      </w:pPr>
      <w:r>
        <w:rPr>
          <w:rFonts w:cs="Lucida Sans" w:ascii="Lucida Sans" w:hAnsi="Lucida Sans"/>
          <w:sz w:val="16"/>
          <w:u w:val="single"/>
        </w:rPr>
      </w:r>
    </w:p>
    <w:p>
      <w:pPr>
        <w:pStyle w:val="Normal"/>
        <w:numPr>
          <w:ilvl w:val="0"/>
          <w:numId w:val="7"/>
        </w:numPr>
        <w:rPr/>
      </w:pPr>
      <w:r>
        <w:rPr/>
        <w:t>Call on UDC voluntary interruptible load programs (up to 2500 MW) in 1999)</w:t>
      </w:r>
    </w:p>
    <w:p>
      <w:pPr>
        <w:pStyle w:val="Normal"/>
        <w:rPr/>
      </w:pPr>
      <w:r>
        <w:rPr/>
      </w:r>
    </w:p>
    <w:p>
      <w:pPr>
        <w:pStyle w:val="Normal"/>
        <w:rPr/>
      </w:pPr>
      <w:r>
        <w:rPr/>
      </w:r>
    </w:p>
    <w:p>
      <w:pPr>
        <w:pStyle w:val="BodyText2"/>
        <w:shd w:fill="auto" w:val="clear"/>
        <w:rPr>
          <w:rFonts w:ascii="Lucida Sans" w:hAnsi="Lucida Sans" w:cs="Lucida Sans"/>
          <w:sz w:val="24"/>
          <w:u w:val="single"/>
        </w:rPr>
      </w:pPr>
      <w:r>
        <w:rPr>
          <w:rFonts w:cs="Lucida Sans" w:ascii="Lucida Sans" w:hAnsi="Lucida Sans"/>
          <w:sz w:val="24"/>
          <w:u w:val="single"/>
        </w:rPr>
        <w:t xml:space="preserve">Stage 3 Emergency:  ISO grid-wide reserves expected to fall below 1.5% (never experienced in California). </w:t>
      </w:r>
    </w:p>
    <w:p>
      <w:pPr>
        <w:pStyle w:val="BodyText2"/>
        <w:shd w:fill="auto" w:val="clear"/>
        <w:rPr>
          <w:rFonts w:ascii="Lucida Sans" w:hAnsi="Lucida Sans" w:cs="Lucida Sans"/>
          <w:sz w:val="16"/>
          <w:u w:val="single"/>
        </w:rPr>
      </w:pPr>
      <w:r>
        <w:rPr>
          <w:rFonts w:cs="Lucida Sans" w:ascii="Lucida Sans" w:hAnsi="Lucida Sans"/>
          <w:sz w:val="16"/>
          <w:u w:val="single"/>
        </w:rPr>
      </w:r>
    </w:p>
    <w:p>
      <w:pPr>
        <w:pStyle w:val="Normal"/>
        <w:numPr>
          <w:ilvl w:val="0"/>
          <w:numId w:val="7"/>
        </w:numPr>
        <w:rPr/>
      </w:pPr>
      <w:r>
        <w:rPr/>
        <w:t>Rotating outages;</w:t>
      </w:r>
    </w:p>
    <w:p>
      <w:pPr>
        <w:pStyle w:val="Normal"/>
        <w:numPr>
          <w:ilvl w:val="0"/>
          <w:numId w:val="7"/>
        </w:numPr>
        <w:rPr/>
      </w:pPr>
      <w:r>
        <w:rPr/>
        <w:t xml:space="preserve">Involuntary load reduction. </w:t>
      </w:r>
    </w:p>
    <w:p>
      <w:pPr>
        <w:pStyle w:val="Normal"/>
        <w:rPr/>
      </w:pPr>
      <w:r>
        <w:rPr/>
      </w:r>
    </w:p>
    <w:p>
      <w:pPr>
        <w:pStyle w:val="Normal"/>
        <w:rPr/>
      </w:pPr>
      <w:r>
        <w:rPr/>
      </w:r>
    </w:p>
    <w:p>
      <w:pPr>
        <w:pStyle w:val="Normal"/>
        <w:rPr>
          <w:sz w:val="16"/>
        </w:rPr>
      </w:pPr>
      <w:r>
        <w:rPr>
          <w:sz w:val="16"/>
        </w:rPr>
      </w:r>
    </w:p>
    <w:sectPr>
      <w:footerReference w:type="default" r:id="rId4"/>
      <w:type w:val="nextPage"/>
      <w:pgSz w:w="12240" w:h="15408"/>
      <w:pgMar w:left="1800" w:right="180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BookmanITC Lt BT">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0"/>
      <w:numFmt w:val="bullet"/>
      <w:lvlText w:val="-"/>
      <w:lvlJc w:val="start"/>
      <w:pPr>
        <w:tabs>
          <w:tab w:val="num" w:pos="720"/>
        </w:tabs>
        <w:ind w:start="1800" w:hanging="360"/>
      </w:pPr>
      <w:rPr>
        <w:rFonts w:ascii="Lucida Sans" w:hAnsi="Lucida Sans" w:cs="Lucida Sans" w:hint="default"/>
      </w:rPr>
    </w:lvl>
    <w:lvl w:ilvl="2">
      <w:start w:val="0"/>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5061"/>
      <w:numFmt w:val="bullet"/>
      <w:lvlText w:val=""/>
      <w:lvlJc w:val="start"/>
      <w:pPr>
        <w:tabs>
          <w:tab w:val="num" w:pos="720"/>
        </w:tabs>
        <w:ind w:start="3960" w:hanging="360"/>
      </w:pPr>
      <w:rPr>
        <w:rFonts w:ascii="Wingdings" w:hAnsi="Wingdings" w:cs="Wingdings" w:hint="default"/>
      </w:rPr>
    </w:lvl>
    <w:lvl w:ilvl="5">
      <w:start w:val="1"/>
      <w:numFmt w:val="bullet"/>
      <w:lvlText w:val=""/>
      <w:lvlJc w:val="start"/>
      <w:pPr>
        <w:tabs>
          <w:tab w:val="num" w:pos="4680"/>
        </w:tabs>
        <w:ind w:start="4680" w:hanging="360"/>
      </w:pPr>
      <w:rPr>
        <w:rFonts w:ascii="Symbol" w:hAnsi="Symbol" w:cs="Symbol"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4">
    <w:lvl w:ilvl="0">
      <w:numFmt w:val="bullet"/>
      <w:lvlText w:val=""/>
      <w:lvlJc w:val="start"/>
      <w:pPr>
        <w:tabs>
          <w:tab w:val="num" w:pos="720"/>
        </w:tabs>
        <w:ind w:start="720" w:hanging="360"/>
      </w:pPr>
      <w:rPr>
        <w:rFonts w:ascii="Wingdings" w:hAnsi="Wingdings" w:cs="Wingdings" w:hint="default"/>
      </w:rPr>
    </w:lvl>
    <w:lvl w:ilvl="1">
      <w:start w:val="0"/>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decimal"/>
      <w:lvlText w:val="%1."/>
      <w:lvlJc w:val="start"/>
      <w:pPr>
        <w:tabs>
          <w:tab w:val="num" w:pos="2880"/>
        </w:tabs>
        <w:ind w:start="2880" w:hanging="360"/>
      </w:pPr>
    </w:lvl>
    <w:lvl w:ilvl="1">
      <w:start w:val="1"/>
      <w:numFmt w:val="bullet"/>
      <w:lvlText w:val=""/>
      <w:lvlJc w:val="start"/>
      <w:pPr>
        <w:tabs>
          <w:tab w:val="num" w:pos="3600"/>
        </w:tabs>
        <w:ind w:start="3600" w:hanging="360"/>
      </w:pPr>
      <w:rPr>
        <w:rFonts w:ascii="Symbol" w:hAnsi="Symbol" w:cs="Symbol" w:hint="default"/>
      </w:rPr>
    </w:lvl>
    <w:lvl w:ilvl="2">
      <w:start w:val="1"/>
      <w:numFmt w:val="lowerLetter"/>
      <w:lvlText w:val="(%3)"/>
      <w:lvlJc w:val="start"/>
      <w:pPr>
        <w:tabs>
          <w:tab w:val="num" w:pos="4500"/>
        </w:tabs>
        <w:ind w:start="4500" w:hanging="360"/>
      </w:pPr>
      <w:rPr/>
    </w:lvl>
    <w:lvl w:ilvl="3">
      <w:start w:val="1"/>
      <w:numFmt w:val="decimal"/>
      <w:lvlText w:val="%4."/>
      <w:lvlJc w:val="start"/>
      <w:pPr>
        <w:tabs>
          <w:tab w:val="num" w:pos="5040"/>
        </w:tabs>
        <w:ind w:start="5040" w:hanging="360"/>
      </w:pPr>
    </w:lvl>
    <w:lvl w:ilvl="4">
      <w:start w:val="1"/>
      <w:numFmt w:val="lowerLetter"/>
      <w:lvlText w:val="%5."/>
      <w:lvlJc w:val="start"/>
      <w:pPr>
        <w:tabs>
          <w:tab w:val="num" w:pos="5760"/>
        </w:tabs>
        <w:ind w:start="5760" w:hanging="360"/>
      </w:pPr>
    </w:lvl>
    <w:lvl w:ilvl="5">
      <w:start w:val="1"/>
      <w:numFmt w:val="lowerRoman"/>
      <w:lvlText w:val="%6."/>
      <w:lvlJc w:val="end"/>
      <w:pPr>
        <w:tabs>
          <w:tab w:val="num" w:pos="6480"/>
        </w:tabs>
        <w:ind w:start="6480" w:hanging="180"/>
      </w:pPr>
    </w:lvl>
    <w:lvl w:ilvl="6">
      <w:start w:val="1"/>
      <w:numFmt w:val="decimal"/>
      <w:lvlText w:val="%7."/>
      <w:lvlJc w:val="start"/>
      <w:pPr>
        <w:tabs>
          <w:tab w:val="num" w:pos="7200"/>
        </w:tabs>
        <w:ind w:start="7200" w:hanging="360"/>
      </w:pPr>
    </w:lvl>
    <w:lvl w:ilvl="7">
      <w:start w:val="1"/>
      <w:numFmt w:val="lowerLetter"/>
      <w:lvlText w:val="%8."/>
      <w:lvlJc w:val="start"/>
      <w:pPr>
        <w:tabs>
          <w:tab w:val="num" w:pos="7920"/>
        </w:tabs>
        <w:ind w:start="7920" w:hanging="360"/>
      </w:pPr>
    </w:lvl>
    <w:lvl w:ilvl="8">
      <w:start w:val="1"/>
      <w:numFmt w:val="lowerRoman"/>
      <w:lvlText w:val="%9."/>
      <w:lvlJc w:val="end"/>
      <w:pPr>
        <w:tabs>
          <w:tab w:val="num" w:pos="8640"/>
        </w:tabs>
        <w:ind w:start="8640" w:hanging="180"/>
      </w:pPr>
    </w:lvl>
  </w:abstractNum>
  <w:abstractNum w:abstractNumId="7">
    <w:lvl w:ilvl="0">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outlineLvl w:val="6"/>
    </w:pPr>
    <w:rPr>
      <w:rFonts w:ascii="Lucida Sans" w:hAnsi="Lucida Sans" w:cs="Lucida Sans"/>
      <w:b/>
      <w:bCs/>
    </w:rPr>
  </w:style>
  <w:style w:type="paragraph" w:styleId="Heading8">
    <w:name w:val="heading 8"/>
    <w:basedOn w:val="Normal"/>
    <w:next w:val="Normal"/>
    <w:qFormat/>
    <w:pPr>
      <w:keepNext w:val="true"/>
      <w:numPr>
        <w:ilvl w:val="7"/>
        <w:numId w:val="1"/>
      </w:numPr>
      <w:jc w:val="center"/>
      <w:outlineLvl w:val="7"/>
    </w:pPr>
    <w:rPr>
      <w:rFonts w:ascii="Lucida Sans" w:hAnsi="Lucida Sans" w:cs="Lucida Sans"/>
      <w:b/>
      <w:bCs/>
      <w:u w:val="single"/>
    </w:rPr>
  </w:style>
  <w:style w:type="paragraph" w:styleId="Heading9">
    <w:name w:val="heading 9"/>
    <w:basedOn w:val="Normal"/>
    <w:next w:val="Normal"/>
    <w:qFormat/>
    <w:pPr>
      <w:keepNext w:val="true"/>
      <w:numPr>
        <w:ilvl w:val="8"/>
        <w:numId w:val="1"/>
      </w:numPr>
      <w:outlineLvl w:val="8"/>
    </w:pPr>
    <w:rPr>
      <w:b/>
      <w:bCs/>
      <w:i/>
      <w:iCs/>
      <w:color w:val="99330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Wingdings" w:hAnsi="Wingdings" w:eastAsia="Times New Roman" w:cs="Times New Roman"/>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rFonts w:ascii="Wingdings" w:hAnsi="Wingdings" w:eastAsia="Times New Roman" w:cs="Times New Roman"/>
    </w:rPr>
  </w:style>
  <w:style w:type="character" w:styleId="WW8Num11z0">
    <w:name w:val="WW8Num11z0"/>
    <w:qFormat/>
    <w:rPr>
      <w:rFonts w:ascii="Wingdings" w:hAnsi="Wingdings" w:eastAsia="Times New Roman" w:cs="Times New Roman"/>
    </w:rPr>
  </w:style>
  <w:style w:type="character" w:styleId="WW8Num11z1">
    <w:name w:val="WW8Num11z1"/>
    <w:qFormat/>
    <w:rPr>
      <w:rFonts w:ascii="Times New Roman" w:hAnsi="Times New Roman" w:eastAsia="Times New Roman" w:cs="Times New Roman"/>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3z0">
    <w:name w:val="WW8Num13z0"/>
    <w:qFormat/>
    <w:rPr>
      <w:rFonts w:ascii="Wingdings" w:hAnsi="Wingdings"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eastAsia="Times New Roman" w:cs="Times New Roman"/>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eastAsia="Times New Roman" w:cs="Times New Roman"/>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4z0">
    <w:name w:val="WW8Num24z0"/>
    <w:qFormat/>
    <w:rPr/>
  </w:style>
  <w:style w:type="character" w:styleId="WW8Num25z0">
    <w:name w:val="WW8Num25z0"/>
    <w:qFormat/>
    <w:rPr>
      <w:rFonts w:ascii="Wingdings" w:hAnsi="Wingdings"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Lucida Sans" w:hAnsi="Lucida Sans" w:eastAsia="Times New Roman" w:cs="Times New Roman"/>
    </w:rPr>
  </w:style>
  <w:style w:type="character" w:styleId="WW8Num27z2">
    <w:name w:val="WW8Num27z2"/>
    <w:qFormat/>
    <w:rPr>
      <w:rFonts w:ascii="Wingdings" w:hAnsi="Wingdings" w:eastAsia="Times New Roman" w:cs="Times New Roman"/>
    </w:rPr>
  </w:style>
  <w:style w:type="character" w:styleId="WW8Num27z7">
    <w:name w:val="WW8Num27z7"/>
    <w:qFormat/>
    <w:rPr>
      <w:rFonts w:ascii="Courier New" w:hAnsi="Courier New" w:cs="Courier New"/>
    </w:rPr>
  </w:style>
  <w:style w:type="character" w:styleId="WW8Num27z8">
    <w:name w:val="WW8Num27z8"/>
    <w:qFormat/>
    <w:rPr>
      <w:rFonts w:ascii="Wingdings" w:hAnsi="Wingdings" w:cs="Wingdings"/>
    </w:rPr>
  </w:style>
  <w:style w:type="character" w:styleId="WW8Num28z0">
    <w:name w:val="WW8Num28z0"/>
    <w:qFormat/>
    <w:rPr>
      <w:b/>
      <w:i/>
    </w:rPr>
  </w:style>
  <w:style w:type="character" w:styleId="WW8Num29z0">
    <w:name w:val="WW8Num29z0"/>
    <w:qFormat/>
    <w:rPr/>
  </w:style>
  <w:style w:type="character" w:styleId="WW8Num30z0">
    <w:name w:val="WW8Num30z0"/>
    <w:qFormat/>
    <w:rPr>
      <w:rFonts w:ascii="Wingdings" w:hAnsi="Wingdings" w:eastAsia="Times New Roman" w:cs="Times New Roman"/>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Wingdings" w:hAnsi="Wingdings"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5z1">
    <w:name w:val="WW8Num35z1"/>
    <w:qFormat/>
    <w:rPr>
      <w:rFonts w:ascii="Wingdings" w:hAnsi="Wingdings" w:eastAsia="Times New Roman" w:cs="Times New Roman"/>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7z1">
    <w:name w:val="WW8Num37z1"/>
    <w:qFormat/>
    <w:rPr>
      <w:rFonts w:ascii="Times New Roman" w:hAnsi="Times New Roman" w:eastAsia="Times New Roman" w:cs="Times New Roman"/>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Wingdings" w:hAnsi="Wingdings" w:eastAsia="Times New Roman" w:cs="Times New Roman"/>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0">
    <w:name w:val="WW8Num40z0"/>
    <w:qFormat/>
    <w:rPr>
      <w:rFonts w:ascii="Times New Roman" w:hAnsi="Times New Roman"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Wingdings" w:hAnsi="Wingdings" w:eastAsia="Times New Roman" w:cs="Times New Roman"/>
    </w:rPr>
  </w:style>
  <w:style w:type="character" w:styleId="WW8Num41z1">
    <w:name w:val="WW8Num41z1"/>
    <w:qFormat/>
    <w:rPr>
      <w:rFonts w:ascii="Times New Roman" w:hAnsi="Times New Roman" w:eastAsia="Times New Roman" w:cs="Times New Roman"/>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1z4">
    <w:name w:val="WW8Num41z4"/>
    <w:qFormat/>
    <w:rPr>
      <w:rFonts w:ascii="Courier New" w:hAnsi="Courier New" w:cs="Courier New"/>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1">
    <w:name w:val="WW8Num43z1"/>
    <w:qFormat/>
    <w:rPr>
      <w:rFonts w:ascii="Symbol" w:hAnsi="Symbol" w:cs="Symbol"/>
    </w:rPr>
  </w:style>
  <w:style w:type="character" w:styleId="WW8Num43z2">
    <w:name w:val="WW8Num43z2"/>
    <w:qFormat/>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eastAsia="Times New Roman" w:cs="Times New Roman"/>
    </w:rPr>
  </w:style>
  <w:style w:type="character" w:styleId="WW8Num45z1">
    <w:name w:val="WW8Num45z1"/>
    <w:qFormat/>
    <w:rPr>
      <w:rFonts w:ascii="Times New Roman" w:hAnsi="Times New Roman" w:eastAsia="Times New Roman" w:cs="Times New Roman"/>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5z4">
    <w:name w:val="WW8Num45z4"/>
    <w:qFormat/>
    <w:rPr>
      <w:rFonts w:ascii="Courier New" w:hAnsi="Courier New" w:cs="Courier New"/>
    </w:rPr>
  </w:style>
  <w:style w:type="character" w:styleId="WW8Num46z0">
    <w:name w:val="WW8Num46z0"/>
    <w:qFormat/>
    <w:rPr>
      <w:rFonts w:ascii="Wingdings" w:hAnsi="Wingdings"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Times New Roman" w:hAnsi="Times New Roman" w:eastAsia="Times New Roman" w:cs="Times New Roman"/>
    </w:rPr>
  </w:style>
  <w:style w:type="character" w:styleId="WW8Num47z1">
    <w:name w:val="WW8Num47z1"/>
    <w:qFormat/>
    <w:rPr>
      <w:rFonts w:ascii="Wingdings" w:hAnsi="Wingdings" w:cs="Wingdings"/>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Times New Roman" w:hAnsi="Times New Roman" w:eastAsia="Times New Roman" w:cs="Times New Roman"/>
    </w:rPr>
  </w:style>
  <w:style w:type="character" w:styleId="WW8Num49z1">
    <w:name w:val="WW8Num49z1"/>
    <w:qFormat/>
    <w:rPr>
      <w:rFonts w:ascii="Wingdings" w:hAnsi="Wingdings" w:eastAsia="Times New Roman" w:cs="Times New Roman"/>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49z4">
    <w:name w:val="WW8Num49z4"/>
    <w:qFormat/>
    <w:rPr>
      <w:rFonts w:ascii="Courier New" w:hAnsi="Courier New" w:cs="Courier New"/>
    </w:rPr>
  </w:style>
  <w:style w:type="character" w:styleId="WW8Num50z0">
    <w:name w:val="WW8Num50z0"/>
    <w:qFormat/>
    <w:rPr>
      <w:rFonts w:ascii="Wingdings" w:hAnsi="Wingdings" w:eastAsia="Times New Roman" w:cs="Times New Roman"/>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eastAsia="Times New Roman" w:cs="Times New Roman"/>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w:hAnsi="Wingdings" w:eastAsia="Times New Roman" w:cs="Times New Roman"/>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pBdr>
        <w:top w:val="single" w:sz="4" w:space="1" w:color="0000FF" w:shadow="1"/>
        <w:left w:val="single" w:sz="4" w:space="4" w:color="0000FF" w:shadow="1"/>
        <w:bottom w:val="single" w:sz="4" w:space="1" w:color="0000FF" w:shadow="1"/>
        <w:right w:val="single" w:sz="4" w:space="4" w:color="0000FF" w:shadow="1"/>
      </w:pBdr>
      <w:shd w:fill="E0E0E0" w:val="clear"/>
      <w:jc w:val="center"/>
    </w:pPr>
    <w:rPr>
      <w:rFonts w:ascii="Lucida Sans" w:hAnsi="Lucida Sans" w:cs="Lucida Sans"/>
      <w:b/>
      <w:bCs/>
      <w:sz w:val="32"/>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aiso.com/pubinfo/BOG/documents"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2000-05-29T03:31:00Z</dcterms:created>
  <dc:creator>Susan R. Schneider</dc:creator>
  <dc:description/>
  <dc:language>en-CA</dc:language>
  <cp:lastModifiedBy>Susan R. Schneider</cp:lastModifiedBy>
  <cp:lastPrinted>2000-01-16T20:40:00Z</cp:lastPrinted>
  <dcterms:modified xsi:type="dcterms:W3CDTF">2000-06-09T16:49:00Z</dcterms:modified>
  <cp:revision>6</cp:revision>
  <dc:subject/>
  <dc:title>KNOW THE ISO EVENT REPORT</dc:title>
</cp:coreProperties>
</file>