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rPr>
      </w:pPr>
      <w:r>
        <w:rPr>
          <w:rFonts w:cs="Arial" w:ascii="Arial" w:hAnsi="Arial"/>
          <w:b/>
          <w:bCs/>
        </w:rPr>
        <w:t>ENRON, WASHINGTON</w:t>
      </w:r>
    </w:p>
    <w:p>
      <w:pPr>
        <w:pStyle w:val="Normal"/>
        <w:rPr>
          <w:rFonts w:ascii="Arial" w:hAnsi="Arial" w:cs="Arial"/>
          <w:b/>
          <w:bCs/>
        </w:rPr>
      </w:pPr>
      <w:r>
        <w:rPr>
          <w:rFonts w:cs="Arial" w:ascii="Arial" w:hAnsi="Arial"/>
          <w:b/>
          <w:bCs/>
        </w:rPr>
        <w:t>MEMORANDUM</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autoSpaceDE w:val="false"/>
        <w:spacing w:lineRule="atLeast" w:line="240"/>
        <w:rPr/>
      </w:pPr>
      <w:r>
        <w:rPr>
          <w:rFonts w:cs="Arial" w:ascii="Arial" w:hAnsi="Arial"/>
        </w:rPr>
        <w:t>TO:</w:t>
        <w:tab/>
        <w:tab/>
        <w:tab/>
      </w:r>
      <w:r>
        <w:rPr>
          <w:rFonts w:cs="Arial" w:ascii="Arial" w:hAnsi="Arial"/>
          <w:color w:val="000000"/>
          <w:szCs w:val="20"/>
        </w:rPr>
        <w:t>Eric Thode</w:t>
      </w:r>
    </w:p>
    <w:p>
      <w:pPr>
        <w:pStyle w:val="Normal"/>
        <w:rPr>
          <w:rFonts w:ascii="Arial" w:hAnsi="Arial" w:cs="Arial"/>
          <w:color w:val="000000"/>
          <w:szCs w:val="20"/>
        </w:rPr>
      </w:pPr>
      <w:r>
        <w:rPr>
          <w:rFonts w:cs="Arial" w:ascii="Arial" w:hAnsi="Arial"/>
          <w:color w:val="000000"/>
          <w:szCs w:val="20"/>
        </w:rPr>
        <w:t>cc:</w:t>
        <w:tab/>
        <w:tab/>
        <w:tab/>
        <w:t>Steve Kean</w:t>
      </w:r>
    </w:p>
    <w:p>
      <w:pPr>
        <w:pStyle w:val="Normal"/>
        <w:ind w:firstLine="720" w:start="1440" w:end="0"/>
        <w:rPr>
          <w:rFonts w:ascii="Arial" w:hAnsi="Arial" w:cs="Arial"/>
          <w:color w:val="000000"/>
          <w:szCs w:val="20"/>
        </w:rPr>
      </w:pPr>
      <w:r>
        <w:rPr>
          <w:rFonts w:cs="Arial" w:ascii="Arial" w:hAnsi="Arial"/>
          <w:color w:val="000000"/>
          <w:szCs w:val="20"/>
        </w:rPr>
        <w:t>Rick Shapiro</w:t>
      </w:r>
    </w:p>
    <w:p>
      <w:pPr>
        <w:pStyle w:val="Normal"/>
        <w:ind w:firstLine="720" w:start="1440" w:end="0"/>
        <w:rPr>
          <w:rFonts w:ascii="Arial" w:hAnsi="Arial" w:cs="Arial"/>
        </w:rPr>
      </w:pPr>
      <w:r>
        <w:rPr>
          <w:rFonts w:cs="Arial" w:ascii="Arial" w:hAnsi="Arial"/>
          <w:color w:val="000000"/>
          <w:szCs w:val="20"/>
        </w:rPr>
        <w:t>Mark Palmer</w:t>
      </w:r>
    </w:p>
    <w:p>
      <w:pPr>
        <w:pStyle w:val="Normal"/>
        <w:rPr>
          <w:rFonts w:ascii="Arial" w:hAnsi="Arial" w:cs="Arial"/>
        </w:rPr>
      </w:pPr>
      <w:r>
        <w:rPr>
          <w:rFonts w:cs="Arial" w:ascii="Arial" w:hAnsi="Arial"/>
        </w:rPr>
        <w:t>FROM:</w:t>
        <w:tab/>
        <w:tab/>
        <w:t>Linda Robertson</w:t>
      </w:r>
    </w:p>
    <w:p>
      <w:pPr>
        <w:pStyle w:val="Normal"/>
        <w:rPr>
          <w:rFonts w:ascii="Arial" w:hAnsi="Arial" w:cs="Arial"/>
        </w:rPr>
      </w:pPr>
      <w:r>
        <w:rPr>
          <w:rFonts w:cs="Arial" w:ascii="Arial" w:hAnsi="Arial"/>
        </w:rPr>
        <w:tab/>
        <w:tab/>
        <w:tab/>
        <w:t>Lora Sullivan</w:t>
      </w:r>
    </w:p>
    <w:p>
      <w:pPr>
        <w:pStyle w:val="Normal"/>
        <w:rPr>
          <w:rFonts w:ascii="Arial" w:hAnsi="Arial" w:cs="Arial"/>
        </w:rPr>
      </w:pPr>
      <w:r>
        <w:rPr>
          <w:rFonts w:cs="Arial" w:ascii="Arial" w:hAnsi="Arial"/>
        </w:rPr>
        <w:t>DATE:</w:t>
        <w:tab/>
        <w:tab/>
        <w:tab/>
        <w:t>May 22, 2001</w:t>
      </w:r>
    </w:p>
    <w:p>
      <w:pPr>
        <w:pStyle w:val="Normal"/>
        <w:rPr>
          <w:rFonts w:ascii="Arial" w:hAnsi="Arial" w:cs="Arial"/>
        </w:rPr>
      </w:pPr>
      <w:r>
        <w:rPr>
          <w:rFonts w:cs="Arial" w:ascii="Arial" w:hAnsi="Arial"/>
        </w:rPr>
        <w:t>RE:</w:t>
        <w:tab/>
        <w:tab/>
        <w:tab/>
      </w:r>
      <w:r>
        <w:rPr>
          <w:rFonts w:cs="Arial" w:ascii="Arial" w:hAnsi="Arial"/>
          <w:b/>
          <w:bCs/>
        </w:rPr>
        <w:t>Meeting with Members of ACORN</w:t>
      </w:r>
    </w:p>
    <w:p>
      <w:pPr>
        <w:pStyle w:val="Normal"/>
        <w:rPr>
          <w:rFonts w:ascii="Arial" w:hAnsi="Arial" w:cs="Arial"/>
        </w:rPr>
      </w:pPr>
      <w:r>
        <w:rPr>
          <w:rFonts w:cs="Arial" w:ascii="Arial" w:hAnsi="Arial"/>
        </w:rPr>
        <w:tab/>
        <w:tab/>
        <w:tab/>
        <w:t>Tuesday, May 22, 2001</w:t>
      </w:r>
    </w:p>
    <w:p>
      <w:pPr>
        <w:pStyle w:val="Normal"/>
        <w:rPr>
          <w:rFonts w:ascii="Arial" w:hAnsi="Arial" w:cs="Arial"/>
        </w:rPr>
      </w:pPr>
      <w:r>
        <w:rPr>
          <w:rFonts w:cs="Arial" w:ascii="Arial" w:hAnsi="Arial"/>
        </w:rPr>
        <w:tab/>
        <w:tab/>
        <w:tab/>
        <w:t>10:00 AM, Enron Glass Conference Room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We met with Will Ward, Chairman of the ACORN delegation, and his associates Kathy, Rachel, Darlene and Merrill.  The meeting was cordial.  They gave an introduction to the Association of Community Organizations (ACORN).  ACORN is the nation’s largest community organization of low-moderate income families with over 100,000 member families organized into 500 neighborhood chapters in 40 cities across the country.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Their purpose in orchestrating protests at various Enron sites is to solicit Enron’s financial support for their national low-income energy assistance program in exchange for positive “advertising” for Enron.  Their argument is that Enron has profited from recent energy price increases and it would be in our best interests to return a portion of the “profits” to the low/moderate income community.  Financial support would allow the group – which is highly organized by neighborhoods – to provide education re: energy conservation and financial assistance (purchase of fans, air conditioners) to low/moderate income households.  They indicated that if we do not enter a “partnership” with ACORN they will continue protests against Enron across the country for the duration of the summer.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Kathy, a member from Philadelphia explained that though she is not a welfare recipient she heads a family of five grandchildren and cares for an invalid who requires daily oxygen.  Air conditioning for her family is not a luxury, but a necessity.  Her utility bills are very high and she has applied and received a minimum of federal aid (LIHEAP and “Weatherization”).  She represents constituents whose monthly utility bills now exceed their food bills.  </w:t>
      </w:r>
    </w:p>
    <w:p>
      <w:pPr>
        <w:pStyle w:val="Normal"/>
        <w:rPr>
          <w:rFonts w:ascii="Arial" w:hAnsi="Arial" w:cs="Arial"/>
        </w:rPr>
      </w:pPr>
      <w:r>
        <w:rPr>
          <w:rFonts w:cs="Arial" w:ascii="Arial" w:hAnsi="Arial"/>
        </w:rPr>
      </w:r>
    </w:p>
    <w:p>
      <w:pPr>
        <w:pStyle w:val="Normal"/>
        <w:rPr/>
      </w:pPr>
      <w:r>
        <w:rPr>
          <w:rFonts w:cs="Arial" w:ascii="Arial" w:hAnsi="Arial"/>
        </w:rPr>
        <w:t xml:space="preserve">Although Linda was predominantly in the “listening” mode and made </w:t>
      </w:r>
      <w:r>
        <w:rPr>
          <w:rFonts w:cs="Arial" w:ascii="Arial" w:hAnsi="Arial"/>
          <w:b/>
          <w:bCs/>
        </w:rPr>
        <w:t>no</w:t>
      </w:r>
      <w:r>
        <w:rPr>
          <w:rFonts w:cs="Arial" w:ascii="Arial" w:hAnsi="Arial"/>
        </w:rPr>
        <w:t xml:space="preserve"> commitments to the group either for additional dialogue or assistance, Linda’s response was that Enron as a company is looking at the current energy crisis from both the supply and demand side.  We are very much a participant in the national debate.  As both a buyer and a seller of energy we, too, do not seek higher prices.  The issue is very complex.</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Linda advised the President’s energy plan includes a $300 million increase to LIHEAP.  In addition the President calls for increased funding for the “weatherization program” over the next ten years, beginning with a substantial increase in 2002.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Will Ward (202-547-9292) asked that Enron respond to their request for continued dialogue regarding financial assistance in two weeks time.  Linda advised she would speak to her superiors in Houston.  It was said that if we did not continue the dialogue they would continue their demonstrations against Enron.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2001-05-22T12:33:00Z</dcterms:created>
  <dc:creator>lsulliv</dc:creator>
  <dc:description/>
  <dc:language>en-CA</dc:language>
  <cp:lastModifiedBy>lsulliv</cp:lastModifiedBy>
  <cp:lastPrinted>2001-05-22T12:21:00Z</cp:lastPrinted>
  <dcterms:modified xsi:type="dcterms:W3CDTF">2001-05-22T14:58:00Z</dcterms:modified>
  <cp:revision>39</cp:revision>
  <dc:subject/>
  <dc:title>ENRON, WASHINGTON</dc:title>
</cp:coreProperties>
</file>