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-111760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John Lavorato, Louise Kitchen,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Ted Murphy, David Port, Cassandra Schultz,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21,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occurrences of the following limit violations as of the close of business May 18,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(551)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The Net Open Position violation resulted mainly from approximately 7,000 short fixed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price contracts being added.  The majority of the contracts were added in the prompt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month and beyond Summer 2002.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0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>No Action</w:t>
      </w: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20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$92.10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The VaR violation resulted mainly from approximately 7,000 short fixed price contracts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being added.  The majority of the contracts were added in the prompt month and beyond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Summer 2002.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0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>No Action</w:t>
      </w: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96" w:after="0"/>
        <w:rPr>
          <w:rFonts w:ascii="Map Symbols" w:hAnsi="Map Symbols" w:cs="Map Symbols"/>
          <w:b/>
          <w:bCs/>
          <w:color w:val="000000"/>
          <w:sz w:val="20"/>
          <w:szCs w:val="20"/>
          <w:u w:val="single"/>
        </w:rPr>
      </w:pPr>
      <w:r>
        <w:rPr>
          <w:rFonts w:cs="Map Symbols" w:ascii="Map Symbols" w:hAnsi="Map Symbols"/>
          <w:b/>
          <w:bCs/>
          <w:color w:val="000000"/>
          <w:sz w:val="20"/>
          <w:szCs w:val="20"/>
          <w:u w:val="single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96" w:after="0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96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(230)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The Maturity Gap Risk violation, which occurred in the months of June, July and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August 2001, resulted mainly from approximately 7,000 short fixed price contracts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being added.  The majority of the contracts were added in the prompt month and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 xml:space="preserve">beyond Summer 2002.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0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>No Action</w:t>
      </w: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ap Symbols" w:hAnsi="Map Symbols" w:cs="Map Symbols"/>
          <w:b/>
          <w:bCs/>
          <w:color w:val="000000"/>
          <w:sz w:val="65"/>
          <w:szCs w:val="65"/>
        </w:rPr>
      </w:pPr>
      <w:r>
        <w:rPr>
          <w:rFonts w:cs="Map Symbols" w:ascii="Map Symbols" w:hAnsi="Map Symbols"/>
          <w:b/>
          <w:bCs/>
          <w:color w:val="000000"/>
          <w:sz w:val="65"/>
          <w:szCs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  <w:font w:name="Map Symbols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2001-05-21T12:58:00Z</dcterms:created>
  <dc:creator>cabel</dc:creator>
  <dc:description/>
  <dc:language>en-CA</dc:language>
  <cp:lastModifiedBy>cabel</cp:lastModifiedBy>
  <cp:lastPrinted>2001-05-21T10:26:00Z</cp:lastPrinted>
  <dcterms:modified xsi:type="dcterms:W3CDTF">2001-05-21T12:58:00Z</dcterms:modified>
  <cp:revision>2</cp:revision>
  <dc:subject/>
  <dc:title/>
</cp:coreProperties>
</file>