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Ted Murphy,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 Skilling, Greg Whalley,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18,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17,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North America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(214)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 xml:space="preserve">The Maturity Gap Risk violation was caused by additional short price positions being put on during </w:t>
      </w:r>
    </w:p>
    <w:p>
      <w:pPr>
        <w:pStyle w:val="Normal"/>
        <w:widowControl w:val="false"/>
        <w:tabs>
          <w:tab w:val="left" w:pos="720" w:leader="none"/>
        </w:tabs>
        <w:autoSpaceDE w:val="false"/>
        <w:rPr/>
      </w:pPr>
      <w:r>
        <w:rPr>
          <w:color w:val="000000"/>
          <w:sz w:val="25"/>
          <w:szCs w:val="25"/>
        </w:rPr>
        <w:tab/>
        <w:tab/>
      </w:r>
      <w:r>
        <w:rPr>
          <w:color w:val="000000"/>
          <w:sz w:val="20"/>
          <w:szCs w:val="20"/>
        </w:rPr>
        <w:t>the summer 2001 months.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90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2001-05-18T11:16:00Z</dcterms:created>
  <dc:creator>kthibode</dc:creator>
  <dc:description/>
  <dc:language>en-CA</dc:language>
  <cp:lastModifiedBy>cabel</cp:lastModifiedBy>
  <dcterms:modified xsi:type="dcterms:W3CDTF">2001-05-18T18:53:00Z</dcterms:modified>
  <cp:revision>3</cp:revision>
  <dc:subject/>
  <dc:title/>
</cp:coreProperties>
</file>