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Don Black, Rick Buy, Dave Delainey, Janet Deitrich,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John Lavorato, Louis Kitchen, Ted Murphy, David Port,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  <w:tab w:val="right" w:pos="7560" w:leader="none"/>
          <w:tab w:val="left" w:pos="7680" w:leader="none"/>
        </w:tabs>
        <w:autoSpaceDE w:val="false"/>
        <w:spacing w:before="155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>:</w:t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17,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16,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Power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$54.00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$250.60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b/>
          <w:bCs/>
          <w:color w:val="000000"/>
          <w:sz w:val="20"/>
          <w:szCs w:val="20"/>
        </w:rPr>
        <w:tab/>
        <w:tab/>
      </w:r>
      <w:bookmarkStart w:id="0" w:name="OLE_LINK1"/>
      <w:r>
        <w:rPr>
          <w:color w:val="000000"/>
          <w:sz w:val="20"/>
          <w:szCs w:val="20"/>
        </w:rPr>
        <w:t>The daily loss of $250.60MM resulted mainly from adjustments in EES’ California business.  Contracts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with two entities, the University of California and IBM, were unwound and they are now being served by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the utilities.  This caused $96MM in losses.  Additionally, the PUC in California adjusted the tariffs for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delivery of power for both NP and SP, causing $179MM in losses.</w:t>
      </w:r>
      <w:bookmarkEnd w:id="0"/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2001-05-17T12:10:00Z</dcterms:created>
  <dc:creator>kthibode</dc:creator>
  <dc:description/>
  <dc:language>en-CA</dc:language>
  <cp:lastModifiedBy>cabel</cp:lastModifiedBy>
  <dcterms:modified xsi:type="dcterms:W3CDTF">2001-05-17T17:46:00Z</dcterms:modified>
  <cp:revision>6</cp:revision>
  <dc:subject/>
  <dc:title/>
</cp:coreProperties>
</file>