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Global</w:t>
      </w:r>
      <w:r>
        <w:rPr>
          <w:rFonts w:cs="MS Sans Serif" w:ascii="MS Sans Serif" w:hAnsi="MS Sans Serif"/>
          <w:sz w:val="20"/>
        </w:rPr>
        <w:t xml:space="preserve"> </w:t>
      </w:r>
      <w:r>
        <w:rPr>
          <w:color w:val="000000"/>
          <w:sz w:val="20"/>
          <w:szCs w:val="20"/>
        </w:rPr>
        <w:t>Risk Controls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16,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$94.43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ind w:hanging="2880" w:start="2880" w:end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  <w:r>
        <w:rPr>
          <w:color w:val="000000"/>
          <w:sz w:val="20"/>
          <w:szCs w:val="20"/>
        </w:rPr>
        <w:t>Prompt month and Summer, 2001 NYMEX prices rose $.25 coupled with an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hanging="2880" w:start="2880" w:end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additional 25 Bcf of short positions added to the overall net short position.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90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2001-05-16T11:35:00Z</dcterms:created>
  <dc:creator>kthibode</dc:creator>
  <dc:description/>
  <dc:language>en-CA</dc:language>
  <cp:lastModifiedBy>kthibode</cp:lastModifiedBy>
  <dcterms:modified xsi:type="dcterms:W3CDTF">2001-05-16T18:18:00Z</dcterms:modified>
  <cp:revision>6</cp:revision>
  <dc:subject/>
  <dc:title/>
</cp:coreProperties>
</file>