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Jeff Gossett, Louise Kitchen, John Lavorato,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Ted Murphy, David Port, Cassandra Schultz, Jeff Skilling,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 xml:space="preserve">Global </w:t>
      </w:r>
      <w:r>
        <w:rPr>
          <w:color w:val="000000"/>
          <w:sz w:val="20"/>
          <w:szCs w:val="20"/>
        </w:rPr>
        <w:t>Risk Operations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11,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10,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$93.42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 xml:space="preserve">The VaR limit violation was mainly due to a shortening of Nymex positions over the summer 2001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period.  While the overall Gas position was short, Nymex positions went shorter by 6.6 Bcf, 4.5 Bcf in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summer 2001.  Gas prices increased by $.13 in the same period.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>No Action</w:t>
      </w: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  <w:font w:name="Map Symbols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2001-05-11T16:23:00Z</dcterms:created>
  <dc:creator>kthibode</dc:creator>
  <dc:description/>
  <dc:language>en-CA</dc:language>
  <cp:lastModifiedBy>cabel</cp:lastModifiedBy>
  <cp:lastPrinted>2001-05-11T15:11:00Z</cp:lastPrinted>
  <dcterms:modified xsi:type="dcterms:W3CDTF">2001-05-11T17:24:00Z</dcterms:modified>
  <cp:revision>2</cp:revision>
  <dc:subject/>
  <dc:title/>
</cp:coreProperties>
</file>