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Hearing on the Effect of Federal Tax Laws on the Production, Supply, and Conservation of Energy</w:t>
      </w:r>
    </w:p>
    <w:p>
      <w:pPr>
        <w:pStyle w:val="Normal"/>
        <w:jc w:val="center"/>
        <w:rPr>
          <w:b/>
        </w:rPr>
      </w:pPr>
      <w:r>
        <w:rPr>
          <w:b/>
        </w:rPr>
      </w:r>
    </w:p>
    <w:p>
      <w:pPr>
        <w:pStyle w:val="Normal"/>
        <w:jc w:val="center"/>
        <w:rPr>
          <w:b/>
        </w:rPr>
      </w:pPr>
      <w:r>
        <w:rPr>
          <w:b/>
        </w:rPr>
        <w:t>May 3, 2001</w:t>
      </w:r>
    </w:p>
    <w:p>
      <w:pPr>
        <w:pStyle w:val="Normal"/>
        <w:rPr>
          <w:b/>
        </w:rPr>
      </w:pPr>
      <w:r>
        <w:rPr>
          <w:b/>
        </w:rPr>
      </w:r>
    </w:p>
    <w:p>
      <w:pPr>
        <w:pStyle w:val="Normal"/>
        <w:rPr/>
      </w:pPr>
      <w:r>
        <w:rPr/>
      </w:r>
    </w:p>
    <w:p>
      <w:pPr>
        <w:pStyle w:val="Normal"/>
        <w:jc w:val="both"/>
        <w:rPr/>
      </w:pPr>
      <w:r>
        <w:rPr/>
        <w:tab/>
        <w:t>Congressman Jim McCrery (R-LA), chairman of the House Ways and Means Subcommittee on Select Revenue Measures, held the first in a series of hearings about President Bush’s FY 2002 budget proposals and the effectiveness of existing tax incentives for the energy sector.  The members of the subcommittee questioned both administration witnesses and a panel from private industry about the need for tax incentives at a time when energy prices and demand remain at record levels.</w:t>
      </w:r>
    </w:p>
    <w:p>
      <w:pPr>
        <w:pStyle w:val="Normal"/>
        <w:jc w:val="both"/>
        <w:rPr/>
      </w:pPr>
      <w:r>
        <w:rPr/>
      </w:r>
    </w:p>
    <w:p>
      <w:pPr>
        <w:pStyle w:val="Normal"/>
        <w:jc w:val="both"/>
        <w:rPr/>
      </w:pPr>
      <w:r>
        <w:rPr/>
        <w:tab/>
        <w:t>Joseph Mikrut, Tax Legislative Counsel for the Department of Treasury, said that the Bush administration supports targeted tax incentives to encourage the development of energy sources that might otherwise go untapped.  Mary Hutzler, Director of the Department of Energy’s Office of Integrated Analysis and Forecasting, testified that more tax incentives will be necessary to meet Vice President Cheney’s goal of tripling renewable energy use by 2020.</w:t>
      </w:r>
    </w:p>
    <w:p>
      <w:pPr>
        <w:pStyle w:val="Normal"/>
        <w:jc w:val="both"/>
        <w:rPr/>
      </w:pPr>
      <w:r>
        <w:rPr/>
      </w:r>
    </w:p>
    <w:p>
      <w:pPr>
        <w:pStyle w:val="Normal"/>
        <w:jc w:val="both"/>
        <w:rPr/>
      </w:pPr>
      <w:r>
        <w:rPr/>
        <w:tab/>
        <w:t>President Bush’s budget proposals would:  (1) extend the existing section 45 credit for wind, closed loop biomass, and poultry waste from December 31, 2001 to 2004; (2) expand the section 45 credit at reduced rates to cover “open-loop” biomass sources from January 1, 2002 through 2004; (3) continue to exempt percentage depletion from marginal wells from the 100-percent-net-income limitation through 2002 (current expiration is 2001); and (4) allow deductions by unregulated taxpayers for contributions to qualified nuclear decommissioning funds; funding of all decommissioning costs (including costs incurred before 1984) through qualified funds; deductions for funding pre-1984 costs not previously deducted or excluded; deductions for contributions to a qualified fund after the end of the nuclear plant’s estimated useful life; deductions for nuclear decommissioning costs when paid; and tax-free transfer of a qualified fund in connection with the transfer of a power plant.</w:t>
      </w:r>
    </w:p>
    <w:p>
      <w:pPr>
        <w:pStyle w:val="Normal"/>
        <w:jc w:val="both"/>
        <w:rPr/>
      </w:pPr>
      <w:r>
        <w:rPr/>
      </w:r>
    </w:p>
    <w:p>
      <w:pPr>
        <w:pStyle w:val="Normal"/>
        <w:jc w:val="both"/>
        <w:rPr/>
      </w:pPr>
      <w:r>
        <w:rPr/>
        <w:tab/>
        <w:t xml:space="preserve">The subcommittee heard from a panel comprised of Steven R. Williams, Petroleum Development Corporation; Robert Morrison, FPL Energy; Bill Carlson, Wheelabrator Environmental Systems, Inc.; and Dan Wallace, Columbus Oil Company.  </w:t>
      </w:r>
    </w:p>
    <w:p>
      <w:pPr>
        <w:pStyle w:val="Normal"/>
        <w:jc w:val="both"/>
        <w:rPr/>
      </w:pPr>
      <w:r>
        <w:rPr/>
      </w:r>
    </w:p>
    <w:p>
      <w:pPr>
        <w:pStyle w:val="Normal"/>
        <w:jc w:val="both"/>
        <w:rPr/>
      </w:pPr>
      <w:r>
        <w:rPr/>
        <w:tab/>
        <w:t>Vice President Cheney’s energy task force will release a report later this month discussing tax incentives.  We anticipate that the Cheney report will engender more hearings, give an added impetus to Congressional action in this area, and influence the scope of energy incentives on the Congressional agenda.</w:t>
      </w:r>
    </w:p>
    <w:p>
      <w:pPr>
        <w:pStyle w:val="Normal"/>
        <w:jc w:val="both"/>
        <w:rPr/>
      </w:pPr>
      <w:r>
        <w:rPr/>
      </w:r>
    </w:p>
    <w:p>
      <w:pPr>
        <w:pStyle w:val="Normal"/>
        <w:jc w:val="both"/>
        <w:rPr/>
      </w:pPr>
      <w:r>
        <w:rPr/>
        <w:tab/>
        <w:t>If you have any questions, please call either Jackie Levinson ((202) 626-2907) or Todd McArthur ((202) 626-5403).</w:t>
      </w:r>
    </w:p>
    <w:sectPr>
      <w:headerReference w:type="default" r:id="rId2"/>
      <w:headerReference w:type="first" r:id="rId3"/>
      <w:footerReference w:type="default" r:id="rId4"/>
      <w:footerReference w:type="first" r:id="rId5"/>
      <w:type w:val="nextPage"/>
      <w:pgSz w:w="12240" w:h="15840"/>
      <w:pgMar w:left="1008" w:right="1008" w:gutter="0" w:header="720" w:top="2520" w:footer="432" w:bottom="187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656" w:type="dxa"/>
      <w:jc w:val="center"/>
      <w:tblInd w:w="0" w:type="dxa"/>
      <w:tblLayout w:type="fixed"/>
      <w:tblCellMar>
        <w:top w:w="0" w:type="dxa"/>
        <w:start w:w="108" w:type="dxa"/>
        <w:bottom w:w="0" w:type="dxa"/>
        <w:end w:w="108" w:type="dxa"/>
      </w:tblCellMar>
    </w:tblPr>
    <w:tblGrid>
      <w:gridCol w:w="3006"/>
      <w:gridCol w:w="2755"/>
      <w:gridCol w:w="2510"/>
      <w:gridCol w:w="2385"/>
    </w:tblGrid>
    <w:tr>
      <w:trPr/>
      <w:tc>
        <w:tcPr>
          <w:tcW w:w="3006" w:type="dxa"/>
          <w:tcBorders>
            <w:top w:val="double" w:sz="4" w:space="0" w:color="000000"/>
          </w:tcBorders>
        </w:tcPr>
        <w:p>
          <w:pPr>
            <w:pStyle w:val="Normal"/>
            <w:spacing w:before="120" w:after="0"/>
            <w:jc w:val="center"/>
            <w:rPr>
              <w:sz w:val="14"/>
            </w:rPr>
          </w:pPr>
          <w:r>
            <w:rPr>
              <w:sz w:val="14"/>
            </w:rPr>
            <w:t>191 PEACHTREE STREET</w:t>
          </w:r>
        </w:p>
        <w:p>
          <w:pPr>
            <w:pStyle w:val="Normal"/>
            <w:jc w:val="center"/>
            <w:rPr>
              <w:sz w:val="14"/>
            </w:rPr>
          </w:pPr>
          <w:r>
            <w:rPr>
              <w:sz w:val="18"/>
            </w:rPr>
            <w:t>ATLANTA, GA 30303-1763</w:t>
          </w:r>
        </w:p>
        <w:p>
          <w:pPr>
            <w:pStyle w:val="Footer"/>
            <w:jc w:val="center"/>
            <w:rPr>
              <w:sz w:val="14"/>
            </w:rPr>
          </w:pPr>
          <w:r>
            <w:rPr>
              <w:sz w:val="14"/>
            </w:rPr>
            <w:t>404/572-4600</w:t>
          </w:r>
        </w:p>
      </w:tc>
      <w:tc>
        <w:tcPr>
          <w:tcW w:w="2755" w:type="dxa"/>
          <w:tcBorders>
            <w:top w:val="double" w:sz="4" w:space="0" w:color="000000"/>
          </w:tcBorders>
        </w:tcPr>
        <w:p>
          <w:pPr>
            <w:pStyle w:val="Normal"/>
            <w:spacing w:before="120" w:after="0"/>
            <w:jc w:val="center"/>
            <w:rPr>
              <w:sz w:val="14"/>
            </w:rPr>
          </w:pPr>
          <w:r>
            <w:rPr>
              <w:sz w:val="14"/>
            </w:rPr>
            <w:t>1730 PENNSYLVANIA AVENUE, N.W.</w:t>
          </w:r>
        </w:p>
        <w:p>
          <w:pPr>
            <w:pStyle w:val="Normal"/>
            <w:rPr>
              <w:sz w:val="14"/>
            </w:rPr>
          </w:pPr>
          <w:r>
            <w:rPr>
              <w:sz w:val="18"/>
            </w:rPr>
            <w:t>WASHINGTON, DC 20006-4706</w:t>
          </w:r>
        </w:p>
        <w:p>
          <w:pPr>
            <w:pStyle w:val="Footer"/>
            <w:jc w:val="center"/>
            <w:rPr>
              <w:sz w:val="14"/>
            </w:rPr>
          </w:pPr>
          <w:r>
            <w:rPr>
              <w:sz w:val="14"/>
            </w:rPr>
            <w:t>202/737-0500</w:t>
          </w:r>
        </w:p>
      </w:tc>
      <w:tc>
        <w:tcPr>
          <w:tcW w:w="2510" w:type="dxa"/>
          <w:tcBorders>
            <w:top w:val="double" w:sz="4" w:space="0" w:color="000000"/>
          </w:tcBorders>
        </w:tcPr>
        <w:p>
          <w:pPr>
            <w:pStyle w:val="Normal"/>
            <w:spacing w:before="120" w:after="0"/>
            <w:jc w:val="center"/>
            <w:rPr>
              <w:sz w:val="14"/>
            </w:rPr>
          </w:pPr>
          <w:r>
            <w:rPr>
              <w:sz w:val="14"/>
            </w:rPr>
            <w:t>1185 AVENUE OF THE AMERICAS</w:t>
          </w:r>
        </w:p>
        <w:p>
          <w:pPr>
            <w:pStyle w:val="Normal"/>
            <w:jc w:val="center"/>
            <w:rPr>
              <w:sz w:val="14"/>
            </w:rPr>
          </w:pPr>
          <w:r>
            <w:rPr>
              <w:sz w:val="18"/>
            </w:rPr>
            <w:t>NEW YORK, NY 10036-4003</w:t>
          </w:r>
        </w:p>
        <w:p>
          <w:pPr>
            <w:pStyle w:val="Footer"/>
            <w:jc w:val="center"/>
            <w:rPr>
              <w:sz w:val="14"/>
            </w:rPr>
          </w:pPr>
          <w:r>
            <w:rPr>
              <w:sz w:val="14"/>
            </w:rPr>
            <w:t>212/556-2100</w:t>
          </w:r>
        </w:p>
      </w:tc>
      <w:tc>
        <w:tcPr>
          <w:tcW w:w="2385" w:type="dxa"/>
          <w:tcBorders>
            <w:top w:val="double" w:sz="4" w:space="0" w:color="000000"/>
          </w:tcBorders>
        </w:tcPr>
        <w:p>
          <w:pPr>
            <w:pStyle w:val="Normal"/>
            <w:spacing w:before="120" w:after="0"/>
            <w:jc w:val="center"/>
            <w:rPr>
              <w:sz w:val="14"/>
            </w:rPr>
          </w:pPr>
          <w:r>
            <w:rPr>
              <w:sz w:val="14"/>
            </w:rPr>
            <w:t>1100 LOUISIANA, SUITE 3300</w:t>
          </w:r>
        </w:p>
        <w:p>
          <w:pPr>
            <w:pStyle w:val="Normal"/>
            <w:rPr>
              <w:sz w:val="14"/>
            </w:rPr>
          </w:pPr>
          <w:r>
            <w:rPr>
              <w:sz w:val="18"/>
            </w:rPr>
            <w:t>HOUSTON, TX 77002-5219</w:t>
          </w:r>
        </w:p>
        <w:p>
          <w:pPr>
            <w:pStyle w:val="Footer"/>
            <w:jc w:val="center"/>
            <w:rPr>
              <w:sz w:val="14"/>
            </w:rPr>
          </w:pPr>
          <w:r>
            <w:rPr>
              <w:sz w:val="14"/>
            </w:rPr>
            <w:t>713/751-3200</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r>
    <w:r>
      <mc:AlternateContent>
        <mc:Choice Requires="wps">
          <w:drawing>
            <wp:anchor behindDoc="1" distT="0" distB="0" distL="114935" distR="114935" simplePos="0" locked="0" layoutInCell="1" allowOverlap="1" relativeHeight="2">
              <wp:simplePos x="0" y="0"/>
              <wp:positionH relativeFrom="column">
                <wp:posOffset>0</wp:posOffset>
              </wp:positionH>
              <wp:positionV relativeFrom="paragraph">
                <wp:posOffset>91440</wp:posOffset>
              </wp:positionV>
              <wp:extent cx="5943600" cy="985520"/>
              <wp:effectExtent l="0" t="0" r="0" b="0"/>
              <wp:wrapNone/>
              <wp:docPr id="1" name="Frame1"/>
              <a:graphic xmlns:a="http://schemas.openxmlformats.org/drawingml/2006/main">
                <a:graphicData uri="http://schemas.microsoft.com/office/word/2010/wordprocessingShape">
                  <wps:wsp>
                    <wps:cNvSpPr txBox="1"/>
                    <wps:spPr>
                      <a:xfrm>
                        <a:off x="0" y="0"/>
                        <a:ext cx="5943600" cy="985520"/>
                      </a:xfrm>
                      <a:prstGeom prst="rect"/>
                      <a:solidFill>
                        <a:srgbClr val="FFFFFF"/>
                      </a:solidFill>
                    </wps:spPr>
                    <wps:txbx>
                      <w:txbxContent>
                        <w:p>
                          <w:pPr>
                            <w:pStyle w:val="Normal"/>
                            <w:jc w:val="center"/>
                            <w:rPr/>
                          </w:pPr>
                          <w:r>
                            <w:rPr/>
                            <w:drawing>
                              <wp:inline distT="0" distB="0" distL="0" distR="0">
                                <wp:extent cx="4650105" cy="884555"/>
                                <wp:effectExtent l="0" t="0" r="0" b="0"/>
                                <wp:docPr id="2" name="K&amp;S-ClientAlert7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mp;S-ClientAlert70" descr="" title=""/>
                                        <pic:cNvPicPr>
                                          <a:picLocks noChangeAspect="1" noChangeArrowheads="1"/>
                                        </pic:cNvPicPr>
                                      </pic:nvPicPr>
                                      <pic:blipFill>
                                        <a:blip r:embed="rId1"/>
                                        <a:srcRect l="-9" t="-45" r="-9" b="-45"/>
                                        <a:stretch>
                                          <a:fillRect/>
                                        </a:stretch>
                                      </pic:blipFill>
                                      <pic:spPr bwMode="auto">
                                        <a:xfrm>
                                          <a:off x="0" y="0"/>
                                          <a:ext cx="4650105" cy="88455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468pt;height:77.6pt;mso-wrap-distance-left:9.05pt;mso-wrap-distance-right:9.05pt;mso-wrap-distance-top:0pt;mso-wrap-distance-bottom:0pt;margin-top:7.2pt;mso-position-vertical-relative:text;margin-left:0pt;mso-position-horizontal-relative:text">
              <v:textbox inset="0.100694444444444in,0.0506944444444444in,0.100694444444444in,0.0506944444444444in">
                <w:txbxContent>
                  <w:p>
                    <w:pPr>
                      <w:pStyle w:val="Normal"/>
                      <w:jc w:val="center"/>
                      <w:rPr/>
                    </w:pPr>
                    <w:r>
                      <w:rPr/>
                      <w:drawing>
                        <wp:inline distT="0" distB="0" distL="0" distR="0">
                          <wp:extent cx="4650105" cy="884555"/>
                          <wp:effectExtent l="0" t="0" r="0" b="0"/>
                          <wp:docPr id="3" name="K&amp;S-ClientAlert7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amp;S-ClientAlert70" descr="" title=""/>
                                  <pic:cNvPicPr>
                                    <a:picLocks noChangeAspect="1" noChangeArrowheads="1"/>
                                  </pic:cNvPicPr>
                                </pic:nvPicPr>
                                <pic:blipFill>
                                  <a:blip r:embed="rId2"/>
                                  <a:srcRect l="-9" t="-45" r="-9" b="-45"/>
                                  <a:stretch>
                                    <a:fillRect/>
                                  </a:stretch>
                                </pic:blipFill>
                                <pic:spPr bwMode="auto">
                                  <a:xfrm>
                                    <a:off x="0" y="0"/>
                                    <a:ext cx="4650105" cy="884555"/>
                                  </a:xfrm>
                                  <a:prstGeom prst="rect">
                                    <a:avLst/>
                                  </a:prstGeom>
                                  <a:noFill/>
                                </pic:spPr>
                              </pic:pic>
                            </a:graphicData>
                          </a:graphic>
                        </wp:inline>
                      </w:drawing>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jc w:val="center"/>
      <w:outlineLvl w:val="0"/>
    </w:pPr>
    <w:rPr>
      <w:b/>
      <w:caps/>
    </w:rPr>
  </w:style>
  <w:style w:type="paragraph" w:styleId="Heading2">
    <w:name w:val="heading 2"/>
    <w:basedOn w:val="Normal"/>
    <w:next w:val="BodyText"/>
    <w:qFormat/>
    <w:pPr>
      <w:keepNext w:val="true"/>
      <w:numPr>
        <w:ilvl w:val="1"/>
        <w:numId w:val="1"/>
      </w:numPr>
      <w:spacing w:before="0" w:after="240"/>
      <w:jc w:val="center"/>
      <w:outlineLvl w:val="1"/>
    </w:pPr>
    <w:rPr>
      <w:b/>
      <w:u w:val="single"/>
    </w:rPr>
  </w:style>
  <w:style w:type="paragraph" w:styleId="Heading3">
    <w:name w:val="heading 3"/>
    <w:basedOn w:val="Normal"/>
    <w:next w:val="BodyText"/>
    <w:qFormat/>
    <w:pPr>
      <w:keepNext w:val="true"/>
      <w:numPr>
        <w:ilvl w:val="2"/>
        <w:numId w:val="1"/>
      </w:numPr>
      <w:spacing w:before="0" w:after="240"/>
      <w:jc w:val="center"/>
      <w:outlineLvl w:val="2"/>
    </w:pPr>
    <w:rPr>
      <w:u w:val="single"/>
    </w:rPr>
  </w:style>
  <w:style w:type="paragraph" w:styleId="Heading4">
    <w:name w:val="heading 4"/>
    <w:basedOn w:val="Normal"/>
    <w:next w:val="BodyText"/>
    <w:qFormat/>
    <w:pPr>
      <w:keepNext w:val="true"/>
      <w:numPr>
        <w:ilvl w:val="3"/>
        <w:numId w:val="1"/>
      </w:numPr>
      <w:spacing w:before="0" w:after="240"/>
      <w:outlineLvl w:val="3"/>
    </w:pPr>
    <w:rPr>
      <w:b/>
      <w:u w:val="single"/>
    </w:rPr>
  </w:style>
  <w:style w:type="paragraph" w:styleId="Heading5">
    <w:name w:val="heading 5"/>
    <w:basedOn w:val="Normal"/>
    <w:next w:val="BodyText"/>
    <w:qFormat/>
    <w:pPr>
      <w:numPr>
        <w:ilvl w:val="4"/>
        <w:numId w:val="1"/>
      </w:numPr>
      <w:spacing w:before="0" w:after="240"/>
      <w:outlineLvl w:val="4"/>
    </w:pPr>
    <w:rPr>
      <w:b/>
      <w:i/>
    </w:rPr>
  </w:style>
  <w:style w:type="paragraph" w:styleId="Heading6">
    <w:name w:val="heading 6"/>
    <w:basedOn w:val="Normal"/>
    <w:next w:val="BodyText"/>
    <w:qFormat/>
    <w:pPr>
      <w:numPr>
        <w:ilvl w:val="5"/>
        <w:numId w:val="1"/>
      </w:numPr>
      <w:spacing w:before="0" w:after="240"/>
      <w:outlineLvl w:val="5"/>
    </w:pPr>
    <w:rPr>
      <w:u w:val="single"/>
    </w:rPr>
  </w:style>
  <w:style w:type="paragraph" w:styleId="Heading7">
    <w:name w:val="heading 7"/>
    <w:basedOn w:val="Normal"/>
    <w:next w:val="BodyText"/>
    <w:qFormat/>
    <w:pPr>
      <w:numPr>
        <w:ilvl w:val="6"/>
        <w:numId w:val="1"/>
      </w:numPr>
      <w:spacing w:before="0" w:after="240"/>
      <w:ind w:hanging="0" w:start="720" w:end="0"/>
      <w:outlineLvl w:val="6"/>
    </w:pPr>
    <w:rPr>
      <w:b/>
      <w:u w:val="single"/>
    </w:rPr>
  </w:style>
  <w:style w:type="paragraph" w:styleId="Heading8">
    <w:name w:val="heading 8"/>
    <w:basedOn w:val="Normal"/>
    <w:next w:val="BodyText"/>
    <w:qFormat/>
    <w:pPr>
      <w:numPr>
        <w:ilvl w:val="7"/>
        <w:numId w:val="1"/>
      </w:numPr>
      <w:spacing w:before="0" w:after="240"/>
      <w:ind w:hanging="0" w:start="720" w:end="0"/>
      <w:outlineLvl w:val="7"/>
    </w:pPr>
    <w:rPr>
      <w:b/>
      <w:i/>
    </w:rPr>
  </w:style>
  <w:style w:type="paragraph" w:styleId="Heading9">
    <w:name w:val="heading 9"/>
    <w:basedOn w:val="Normal"/>
    <w:next w:val="BodyText"/>
    <w:qFormat/>
    <w:pPr>
      <w:numPr>
        <w:ilvl w:val="8"/>
        <w:numId w:val="1"/>
      </w:numPr>
      <w:spacing w:before="0" w:after="240"/>
      <w:ind w:hanging="0" w:start="720" w:end="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smallCaps/>
      <w:w w:val="150"/>
      <w:sz w:val="46"/>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720" w:end="0"/>
    </w:pPr>
    <w:rPr/>
  </w:style>
  <w:style w:type="paragraph" w:styleId="BodyTextFirstIndent">
    <w:name w:val="Body Text First Indent"/>
    <w:basedOn w:val="BodyText"/>
    <w:qFormat/>
    <w:pPr>
      <w:spacing w:before="0" w:after="120"/>
      <w:ind w:firstLine="210" w:start="0" w:end="0"/>
    </w:pPr>
    <w:rPr>
      <w:b/>
      <w:sz w:val="24"/>
    </w:rPr>
  </w:style>
  <w:style w:type="paragraph" w:styleId="EnvelopeAddress">
    <w:name w:val="envelope address"/>
    <w:basedOn w:val="Normal"/>
    <w:pPr>
      <w:ind w:hanging="0" w:start="2880" w:end="0"/>
    </w:pPr>
    <w:rPr/>
  </w:style>
  <w:style w:type="paragraph" w:styleId="RecipientName">
    <w:name w:val="RecipientName"/>
    <w:basedOn w:val="Normal"/>
    <w:next w:val="Normal"/>
    <w:qFormat/>
    <w:pPr/>
    <w:rPr/>
  </w:style>
  <w:style w:type="paragraph" w:styleId="LetterDate">
    <w:name w:val="LetterDate"/>
    <w:basedOn w:val="Normal"/>
    <w:qFormat/>
    <w:pPr>
      <w:jc w:val="center"/>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Client Alert.dot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2001-05-04T17:03:00Z</dcterms:created>
  <dc:creator>Wanda Huderski</dc:creator>
  <dc:description/>
  <dc:language>en-CA</dc:language>
  <cp:lastModifiedBy>Patricia J. Thomasson</cp:lastModifiedBy>
  <cp:lastPrinted>2001-05-04T15:35:00Z</cp:lastPrinted>
  <dcterms:modified xsi:type="dcterms:W3CDTF">2001-05-04T18:06:00Z</dcterms:modified>
  <cp:revision>3</cp:revision>
  <dc:subject/>
  <dc:title>Hearing on the Effect of Federal Tax Laws on the Production, Supply, and Conservation of Energy</dc:title>
</cp:coreProperties>
</file>