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numPr>
          <w:ilvl w:val="0"/>
          <w:numId w:val="0"/>
        </w:numPr>
        <w:ind w:start="0" w:hanging="0" w:end="0"/>
        <w:outlineLvl w:val="0"/>
        <w:rPr/>
      </w:pPr>
      <w:r>
        <w:rPr/>
        <w:t>LYN/abw  3/26/2001</w:t>
      </w:r>
    </w:p>
    <w:p>
      <w:pPr>
        <w:pStyle w:val="main"/>
        <w:rPr>
          <w:sz w:val="24"/>
        </w:rPr>
      </w:pPr>
      <w:r>
        <w:rPr>
          <w:sz w:val="24"/>
        </w:rPr>
      </w:r>
    </w:p>
    <w:p>
      <w:pPr>
        <w:pStyle w:val="main"/>
        <w:rPr>
          <w:sz w:val="24"/>
        </w:rPr>
      </w:pPr>
      <w:r>
        <w:rPr>
          <w:sz w:val="24"/>
        </w:rPr>
      </w:r>
    </w:p>
    <w:p>
      <w:pPr>
        <w:pStyle w:val="main"/>
        <w:numPr>
          <w:ilvl w:val="0"/>
          <w:numId w:val="0"/>
        </w:numPr>
        <w:outlineLvl w:val="0"/>
        <w:rPr>
          <w:sz w:val="24"/>
        </w:rPr>
      </w:pPr>
      <w:r>
        <w:rPr>
          <w:sz w:val="24"/>
        </w:rPr>
        <w:t>BEFORE THE PUBLIC UTILITIES COMMISSION OF THE STATE OF CALIFORNIA</w:t>
      </w:r>
    </w:p>
    <w:p>
      <w:pPr>
        <w:pStyle w:val="Normal"/>
        <w:suppressAutoHyphens w:val="true"/>
        <w:rPr>
          <w:sz w:val="24"/>
        </w:rPr>
      </w:pPr>
      <w:r>
        <w:rPr>
          <w:sz w:val="24"/>
        </w:rPr>
      </w:r>
    </w:p>
    <w:p>
      <w:pPr>
        <w:pStyle w:val="Normal"/>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tab/>
              <w:tab/>
              <w:t>(U 39 E)</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Footer"/>
              <w:tabs>
                <w:tab w:val="clear" w:pos="4320"/>
                <w:tab w:val="clear" w:pos="8640"/>
              </w:tabs>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titlebar"/>
        <w:widowControl/>
        <w:rPr/>
      </w:pPr>
      <w:r>
        <w:rPr/>
      </w:r>
    </w:p>
    <w:p>
      <w:pPr>
        <w:pStyle w:val="titlebar"/>
        <w:widowControl/>
        <w:rPr/>
      </w:pPr>
      <w:r>
        <w:rPr/>
      </w:r>
    </w:p>
    <w:p>
      <w:pPr>
        <w:pStyle w:val="main"/>
        <w:numPr>
          <w:ilvl w:val="0"/>
          <w:numId w:val="0"/>
        </w:numPr>
        <w:outlineLvl w:val="0"/>
        <w:rPr/>
      </w:pPr>
      <w:r>
        <w:rPr/>
        <w:t>ASSIGNED COMMISSIONER’S RULING</w:t>
      </w:r>
    </w:p>
    <w:p>
      <w:pPr>
        <w:pStyle w:val="Normal"/>
        <w:suppressAutoHyphens w:val="true"/>
        <w:rPr/>
      </w:pPr>
      <w:r>
        <w:rPr/>
      </w:r>
    </w:p>
    <w:p>
      <w:pPr>
        <w:pStyle w:val="standard"/>
        <w:rPr/>
      </w:pPr>
      <w:r>
        <w:rPr/>
        <w:t xml:space="preserve">In my alternate proposed decision in the rate stabilization docket, I refer to a tiered rate design.  To further expedite the decisions the Commission makes regarding rates, attached is a proposed tiered rate design for all customer classes hereby released for review.  The principles followed in designing the attached rate proposal include:  </w:t>
      </w:r>
    </w:p>
    <w:p>
      <w:pPr>
        <w:pStyle w:val="standard"/>
        <w:numPr>
          <w:ilvl w:val="0"/>
          <w:numId w:val="4"/>
        </w:numPr>
        <w:rPr/>
      </w:pPr>
      <w:r>
        <w:rPr/>
        <w:t>Residential customers who keep electric usage within 130% of baseline are exempted from rate increases, as mandated by ABX1 1;</w:t>
      </w:r>
    </w:p>
    <w:p>
      <w:pPr>
        <w:pStyle w:val="standard"/>
        <w:numPr>
          <w:ilvl w:val="0"/>
          <w:numId w:val="4"/>
        </w:numPr>
        <w:rPr/>
      </w:pPr>
      <w:r>
        <w:rPr/>
        <w:t>Base-rate differences among customer classes will be adjusted to reduce the disparity in prices paid for energy (on a per kilowatt hour basis) to ensure fairness in the prices paid for all energy purchased for California;</w:t>
      </w:r>
    </w:p>
    <w:p>
      <w:pPr>
        <w:pStyle w:val="standard"/>
        <w:numPr>
          <w:ilvl w:val="0"/>
          <w:numId w:val="4"/>
        </w:numPr>
        <w:rPr/>
      </w:pPr>
      <w:r>
        <w:rPr/>
        <w:t>For all customers, electric bills will be tiered to the amount of electricity used in order to promote conservation – the more you use, the more you pay for that extra electricity above a certain threshold of use;</w:t>
      </w:r>
    </w:p>
    <w:p>
      <w:pPr>
        <w:pStyle w:val="standard"/>
        <w:numPr>
          <w:ilvl w:val="0"/>
          <w:numId w:val="4"/>
        </w:numPr>
        <w:rPr/>
      </w:pPr>
      <w:r>
        <w:rPr/>
        <w:t>For commercial customers with time-of-use or other advanced meters, rates will be tiered to promote the greatest amount of conservation possible during summer peak hours;</w:t>
      </w:r>
    </w:p>
    <w:p>
      <w:pPr>
        <w:pStyle w:val="standard"/>
        <w:numPr>
          <w:ilvl w:val="0"/>
          <w:numId w:val="4"/>
        </w:numPr>
        <w:rPr/>
      </w:pPr>
      <w:r>
        <w:rPr/>
        <w:t>The class of CARE customers will be expanded to include 175% of the federal poverty level, but CARE customers who use above 200% of baseline could also participate in conservation incentives within a modified tiered rate structure.</w:t>
      </w:r>
    </w:p>
    <w:p>
      <w:pPr>
        <w:pStyle w:val="standard"/>
        <w:rPr/>
      </w:pPr>
      <w:r>
        <w:rPr/>
        <w:t xml:space="preserve">Under this proposal, over 45% of residential customers will not see an increase in their electric bills, even without including projections for decreased usage from conservation incentives.  Thus, it is likely that a much greater percentage of customers who </w:t>
      </w:r>
      <w:r>
        <w:rPr>
          <w:u w:val="single"/>
        </w:rPr>
        <w:t>do</w:t>
      </w:r>
      <w:r>
        <w:rPr/>
        <w:t xml:space="preserve"> change behavior to use electricity more efficiently will </w:t>
      </w:r>
      <w:r>
        <w:rPr>
          <w:u w:val="single"/>
        </w:rPr>
        <w:t>not</w:t>
      </w:r>
      <w:r>
        <w:rPr/>
        <w:t xml:space="preserve"> see a rate increase under this proposal.  Similarly, this proposal does not take into account demand-side management programs now proposed in R.00-10-002.  Once these programs are implemented, customers participating in those programs—primarily medium and large commercial customers—may also experience a decrease or leveling of their electric bills, based on reduced usage.</w:t>
      </w:r>
    </w:p>
    <w:p>
      <w:pPr>
        <w:pStyle w:val="standard"/>
        <w:rPr/>
      </w:pPr>
      <w:r>
        <w:rPr/>
        <w:t xml:space="preserve">Several important caveats exist with respect to this rate design proposal:  </w:t>
      </w:r>
    </w:p>
    <w:p>
      <w:pPr>
        <w:pStyle w:val="standard"/>
        <w:numPr>
          <w:ilvl w:val="0"/>
          <w:numId w:val="3"/>
        </w:numPr>
        <w:rPr/>
      </w:pPr>
      <w:r>
        <w:rPr/>
        <w:t>First and most importantly, this Commission has not received specific data from the California Department of Water Resources, (CDWR) to enable us to identify where gaps exist between power supplies already purchased and under contract and power demand requirements, by time of day and season.  Upon receipt of this detailed information, we will be able to design rates to promote decreased use of electricity during the periods where gaps still exist between the amount of energy obtained by CDWR and the amount of energy needed.  In the absence of specific information as to net short amounts of energy needed, the proposal assumes that summer on-peak energy usage is still the period when we need the greatest conservation.</w:t>
      </w:r>
    </w:p>
    <w:p>
      <w:pPr>
        <w:pStyle w:val="standard"/>
        <w:numPr>
          <w:ilvl w:val="0"/>
          <w:numId w:val="3"/>
        </w:numPr>
        <w:rPr/>
      </w:pPr>
      <w:r>
        <w:rPr/>
        <w:t xml:space="preserve">We recognize that reducing the disparity between the base rates for different customer classes may impose a larger percentage increase for certain customer classes’ per kilowatt-hour rate.  But fairness requires that we reduce the disparity between the prices paid for the basic energy component by each customer class.  </w:t>
      </w:r>
    </w:p>
    <w:p>
      <w:pPr>
        <w:pStyle w:val="standard"/>
        <w:numPr>
          <w:ilvl w:val="0"/>
          <w:numId w:val="3"/>
        </w:numPr>
        <w:rPr/>
      </w:pPr>
      <w:r>
        <w:rPr/>
        <w:t>This proposal does not incorporate any of projections of reduced energy use based on rate increases (use reductions which also reduce charges on customers’ bills).  This proposal instead assumes the amount of energy used by each customer class historically.  It is likely that adopting a rate design proposal that incorporates tiered rates to enhance conservation will result in a reduction in electricity use, further reducing prices to be paid.</w:t>
      </w:r>
    </w:p>
    <w:p>
      <w:pPr>
        <w:pStyle w:val="standard"/>
        <w:rPr/>
      </w:pPr>
      <w:r>
        <w:rPr/>
        <w:t>The attached design is merely a proposal intended to jumpstart the public process of rate design.  We invite customers and parties to submit their own proposals which demonstrate a fair shouldering of the burden of purchasing energy throughout 2001-2002.</w:t>
      </w:r>
    </w:p>
    <w:p>
      <w:pPr>
        <w:pStyle w:val="standard"/>
        <w:rPr/>
      </w:pPr>
      <w:r>
        <w:rPr/>
        <w:t>Recognizing that the Commission needs to proceed expeditiously, this ruling sets an expedited schedule within which to evaluate rate design proposals.  A pre-hearing conference will be set for April 2, 2001 at 10 a.m. with briefings and hearings, if required, to follow on an expedited schedule.</w:t>
      </w:r>
    </w:p>
    <w:p>
      <w:pPr>
        <w:pStyle w:val="standard"/>
        <w:keepNext w:val="true"/>
        <w:numPr>
          <w:ilvl w:val="0"/>
          <w:numId w:val="0"/>
        </w:numPr>
        <w:ind w:firstLine="720" w:start="0"/>
        <w:outlineLvl w:val="0"/>
        <w:rPr/>
      </w:pPr>
      <w:r>
        <w:rPr>
          <w:b/>
        </w:rPr>
        <w:t>IT IS RULED</w:t>
      </w:r>
      <w:r>
        <w:rPr/>
        <w:t xml:space="preserve"> that:</w:t>
      </w:r>
    </w:p>
    <w:p>
      <w:pPr>
        <w:pStyle w:val="num1"/>
        <w:numPr>
          <w:ilvl w:val="0"/>
          <w:numId w:val="2"/>
        </w:numPr>
        <w:rPr/>
      </w:pPr>
      <w:r>
        <w:rPr/>
        <w:tab/>
        <w:t>A proposed tiered rate design for all customer classes released for review.</w:t>
      </w:r>
    </w:p>
    <w:p>
      <w:pPr>
        <w:pStyle w:val="num1"/>
        <w:numPr>
          <w:ilvl w:val="0"/>
          <w:numId w:val="2"/>
        </w:numPr>
        <w:rPr/>
      </w:pPr>
      <w:r>
        <w:rPr>
          <w:rFonts w:eastAsia="PALATINO;Book Antiqua"/>
        </w:rPr>
        <w:t xml:space="preserve">  </w:t>
      </w:r>
      <w:r>
        <w:rPr/>
        <w:t>A prehearing conference regarding designing new electric rates shall be held on April 2, 2001 at 10:00 a.m. in the Commission’s Courtrooms.</w:t>
      </w:r>
    </w:p>
    <w:p>
      <w:pPr>
        <w:pStyle w:val="standard"/>
        <w:rPr/>
      </w:pPr>
      <w:r>
        <w:rPr/>
        <w:t>Dated March 26, 2001, at San Francisco, California.</w:t>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rPr/>
            </w:pPr>
            <w:r>
              <w:rPr/>
              <w:t>/s/ LORETTA M. LYNCH</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Loretta M. Lynch</w:t>
            </w:r>
          </w:p>
          <w:p>
            <w:pPr>
              <w:pStyle w:val="Normal"/>
              <w:jc w:val="center"/>
              <w:rPr/>
            </w:pPr>
            <w:r>
              <w:rPr/>
              <w:t>Assigned Commissioner</w:t>
            </w:r>
          </w:p>
        </w:tc>
      </w:tr>
    </w:tbl>
    <w:p>
      <w:pPr>
        <w:sectPr>
          <w:headerReference w:type="default" r:id="rId2"/>
          <w:headerReference w:type="first" r:id="rId3"/>
          <w:footerReference w:type="default" r:id="rId4"/>
          <w:footerReference w:type="first" r:id="rId5"/>
          <w:type w:val="nextPage"/>
          <w:pgSz w:w="12240" w:h="15840"/>
          <w:pgMar w:left="1440" w:right="1440" w:gutter="0" w:header="720" w:top="990" w:footer="720" w:bottom="1440"/>
          <w:pgNumType w:fmt="decimal"/>
          <w:formProt w:val="false"/>
          <w:titlePg/>
          <w:textDirection w:val="lrTb"/>
          <w:docGrid w:type="default" w:linePitch="360" w:charSpace="0"/>
        </w:sectPr>
      </w:pPr>
    </w:p>
    <w:p>
      <w:pPr>
        <w:pStyle w:val="main"/>
        <w:numPr>
          <w:ilvl w:val="0"/>
          <w:numId w:val="0"/>
        </w:numPr>
        <w:outlineLvl w:val="0"/>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Assigned Commissioner’s Ruling on all parties of record in this proceeding or their attorneys of record.</w:t>
      </w:r>
    </w:p>
    <w:p>
      <w:pPr>
        <w:pStyle w:val="standard"/>
        <w:rPr/>
      </w:pPr>
      <w:r>
        <w:rPr/>
        <w:t>Dated March 26, 2001,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t>/s/ ANN B. WHITE</w:t>
            </w:r>
          </w:p>
        </w:tc>
      </w:tr>
      <w:tr>
        <w:trPr/>
        <w:tc>
          <w:tcPr>
            <w:tcW w:w="3420" w:type="dxa"/>
            <w:tcBorders/>
          </w:tcPr>
          <w:p>
            <w:pPr>
              <w:pStyle w:val="Normal"/>
              <w:jc w:val="center"/>
              <w:rPr/>
            </w:pPr>
            <w:r>
              <w:rPr/>
              <w:t>Ann B. White</w:t>
            </w:r>
          </w:p>
        </w:tc>
      </w:tr>
    </w:tbl>
    <w:p>
      <w:pPr>
        <w:pStyle w:val="Normal"/>
        <w:rPr/>
      </w:pPr>
      <w:r>
        <w:rPr/>
      </w:r>
    </w:p>
    <w:p>
      <w:pPr>
        <w:pStyle w:val="Normal"/>
        <w:spacing w:lineRule="auto" w:line="360"/>
        <w:rPr/>
      </w:pPr>
      <w:r>
        <w:rPr/>
      </w:r>
    </w:p>
    <w:p>
      <w:pPr>
        <w:pStyle w:val="mainex"/>
        <w:numPr>
          <w:ilvl w:val="0"/>
          <w:numId w:val="0"/>
        </w:numPr>
        <w:outlineLvl w:val="0"/>
        <w:rPr/>
      </w:pPr>
      <w:r>
        <w:rPr/>
        <w:t>NOTICE</w:t>
      </w:r>
    </w:p>
    <w:p>
      <w:pPr>
        <w:pStyle w:val="Normal"/>
        <w:rPr/>
      </w:pPr>
      <w:r>
        <w:rPr/>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pPr>
      <w:r>
        <w:rPr/>
      </w:r>
    </w:p>
    <w:p>
      <w:pPr>
        <w:pStyle w:val="Normal"/>
        <w:tabs>
          <w:tab w:val="clear" w:pos="720"/>
          <w:tab w:val="left" w:pos="0" w:leader="none"/>
        </w:tabs>
        <w:ind w:start="1440" w:end="1440"/>
        <w:rPr/>
      </w:pPr>
      <w:r>
        <w:rPr/>
        <w:t>* * * * * * * * * * * * * * * * * * * * * * * * * * * * * * * * * * * * * * *</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or TTY# 1-866-836-7825 or (415) 703-5282 at least three working days in advance of the event.</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0" w:leader="none"/>
        </w:tabs>
        <w:ind w:start="1440" w:end="1440"/>
        <w:rPr/>
      </w:pPr>
      <w:r>
        <w:rPr/>
      </w:r>
    </w:p>
    <w:p>
      <w:pPr>
        <w:pStyle w:val="Normal"/>
        <w:tabs>
          <w:tab w:val="clear" w:pos="720"/>
          <w:tab w:val="left" w:pos="0" w:leader="none"/>
        </w:tabs>
        <w:ind w:end="1440"/>
        <w:rPr/>
      </w:pPr>
      <w:r>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5438140" cy="822960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0"/>
                    <a:srcRect l="-5" t="-3" r="-5" b="-3"/>
                    <a:stretch>
                      <a:fillRect/>
                    </a:stretch>
                  </pic:blipFill>
                  <pic:spPr bwMode="auto">
                    <a:xfrm>
                      <a:off x="0" y="0"/>
                      <a:ext cx="5438140" cy="8229600"/>
                    </a:xfrm>
                    <a:prstGeom prst="rect">
                      <a:avLst/>
                    </a:prstGeom>
                    <a:noFill/>
                  </pic:spPr>
                </pic:pic>
              </a:graphicData>
            </a:graphic>
          </wp:anchor>
        </w:drawing>
      </w:r>
    </w:p>
    <w:p>
      <w:pPr>
        <w:pStyle w:val="Normal"/>
        <w:tabs>
          <w:tab w:val="clear" w:pos="720"/>
          <w:tab w:val="left" w:pos="0" w:leader="none"/>
        </w:tabs>
        <w:ind w:end="1440"/>
        <w:rPr/>
      </w:pPr>
      <w:r>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5484495" cy="712978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1"/>
                    <a:srcRect l="-5" t="-4" r="-5" b="-4"/>
                    <a:stretch>
                      <a:fillRect/>
                    </a:stretch>
                  </pic:blipFill>
                  <pic:spPr bwMode="auto">
                    <a:xfrm>
                      <a:off x="0" y="0"/>
                      <a:ext cx="5484495" cy="7129780"/>
                    </a:xfrm>
                    <a:prstGeom prst="rect">
                      <a:avLst/>
                    </a:prstGeom>
                    <a:noFill/>
                  </pic:spPr>
                </pic:pic>
              </a:graphicData>
            </a:graphic>
          </wp:anchor>
        </w:drawing>
      </w:r>
    </w:p>
    <w:p>
      <w:pPr>
        <w:pStyle w:val="Normal"/>
        <w:tabs>
          <w:tab w:val="clear" w:pos="720"/>
          <w:tab w:val="left" w:pos="0" w:leader="none"/>
        </w:tabs>
        <w:ind w:end="1440"/>
        <w:rPr/>
      </w:pPr>
      <w:r>
        <w:rPr/>
      </w:r>
      <w:r>
        <w:br w:type="page"/>
      </w:r>
    </w:p>
    <w:p>
      <w:pPr>
        <w:pStyle w:val="Normal"/>
        <w:tabs>
          <w:tab w:val="clear" w:pos="720"/>
          <w:tab w:val="left" w:pos="0" w:leader="none"/>
        </w:tabs>
        <w:ind w:end="1440"/>
        <w:rPr/>
      </w:pPr>
      <w:r>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22265" cy="822261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2"/>
                    <a:srcRect l="-5" t="-3" r="-5" b="-3"/>
                    <a:stretch>
                      <a:fillRect/>
                    </a:stretch>
                  </pic:blipFill>
                  <pic:spPr bwMode="auto">
                    <a:xfrm>
                      <a:off x="0" y="0"/>
                      <a:ext cx="5422265" cy="8222615"/>
                    </a:xfrm>
                    <a:prstGeom prst="rect">
                      <a:avLst/>
                    </a:prstGeom>
                    <a:noFill/>
                  </pic:spPr>
                </pic:pic>
              </a:graphicData>
            </a:graphic>
          </wp:anchor>
        </w:drawing>
      </w:r>
    </w:p>
    <w:p>
      <w:pPr>
        <w:pStyle w:val="Normal"/>
        <w:tabs>
          <w:tab w:val="clear" w:pos="720"/>
          <w:tab w:val="left" w:pos="0" w:leader="none"/>
        </w:tabs>
        <w:ind w:end="1440"/>
        <w:rPr/>
      </w:pPr>
      <w:r>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4495" cy="630555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3"/>
                    <a:srcRect l="-5" t="-4" r="-5" b="-4"/>
                    <a:stretch>
                      <a:fillRect/>
                    </a:stretch>
                  </pic:blipFill>
                  <pic:spPr bwMode="auto">
                    <a:xfrm>
                      <a:off x="0" y="0"/>
                      <a:ext cx="5484495" cy="6305550"/>
                    </a:xfrm>
                    <a:prstGeom prst="rect">
                      <a:avLst/>
                    </a:prstGeom>
                    <a:noFill/>
                  </pic:spPr>
                </pic:pic>
              </a:graphicData>
            </a:graphic>
          </wp:anchor>
        </w:drawing>
      </w:r>
    </w:p>
    <w:p>
      <w:pPr>
        <w:pStyle w:val="Normal"/>
        <w:tabs>
          <w:tab w:val="clear" w:pos="720"/>
          <w:tab w:val="left" w:pos="0" w:leader="none"/>
        </w:tabs>
        <w:ind w:end="1440"/>
        <w:rPr/>
      </w:pPr>
      <w:r>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53380" cy="822706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4"/>
                    <a:srcRect l="-5" t="-3" r="-5" b="-3"/>
                    <a:stretch>
                      <a:fillRect/>
                    </a:stretch>
                  </pic:blipFill>
                  <pic:spPr bwMode="auto">
                    <a:xfrm>
                      <a:off x="0" y="0"/>
                      <a:ext cx="5453380" cy="8227060"/>
                    </a:xfrm>
                    <a:prstGeom prst="rect">
                      <a:avLst/>
                    </a:prstGeom>
                    <a:noFill/>
                  </pic:spPr>
                </pic:pic>
              </a:graphicData>
            </a:graphic>
          </wp:anchor>
        </w:drawing>
      </w:r>
    </w:p>
    <w:p>
      <w:pPr>
        <w:pStyle w:val="Normal"/>
        <w:tabs>
          <w:tab w:val="clear" w:pos="720"/>
          <w:tab w:val="left" w:pos="0" w:leader="none"/>
        </w:tabs>
        <w:ind w:end="1440"/>
        <w:rPr/>
      </w:pPr>
      <w:r>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5484495" cy="1141730"/>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5"/>
                    <a:srcRect l="-5" t="-22" r="-5" b="-22"/>
                    <a:stretch>
                      <a:fillRect/>
                    </a:stretch>
                  </pic:blipFill>
                  <pic:spPr bwMode="auto">
                    <a:xfrm>
                      <a:off x="0" y="0"/>
                      <a:ext cx="5484495" cy="1141730"/>
                    </a:xfrm>
                    <a:prstGeom prst="rect">
                      <a:avLst/>
                    </a:prstGeom>
                    <a:noFill/>
                  </pic:spPr>
                </pic:pic>
              </a:graphicData>
            </a:graphic>
          </wp:anchor>
        </w:drawing>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p>
      <w:pPr>
        <w:pStyle w:val="Normal"/>
        <w:tabs>
          <w:tab w:val="clear" w:pos="720"/>
          <w:tab w:val="left" w:pos="0" w:leader="none"/>
        </w:tabs>
        <w:ind w:end="1440"/>
        <w:rPr/>
      </w:pPr>
      <w:r>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93589</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LML/abw</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LML/abw</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LML/abw</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LML/abw</w:t>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LML/abw</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FootnoteText">
    <w:name w:val="footnote text"/>
    <w:basedOn w:val="Normal"/>
    <w:pPr>
      <w:spacing w:before="0" w:after="240"/>
    </w:pPr>
    <w:rPr>
      <w:sz w:val="24"/>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5"/>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6"/>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titlebar">
    <w:name w:val="title bar"/>
    <w:basedOn w:val="main"/>
    <w:qFormat/>
    <w:pPr>
      <w:keepNext w:val="true"/>
      <w:widowControl w:val="false"/>
      <w:suppressAutoHyphens w:val="true"/>
    </w:pPr>
    <w:rPr/>
  </w:style>
  <w:style w:type="paragraph" w:styleId="DocumentMap">
    <w:name w:val="Document Map"/>
    <w:basedOn w:val="Normal"/>
    <w:qFormat/>
    <w:pPr>
      <w:shd w:fill="000080" w:val="clear"/>
    </w:pPr>
    <w:rPr>
      <w:rFonts w:ascii="Tahoma" w:hAnsi="Tahoma" w:cs="Tahoma"/>
    </w:rPr>
  </w:style>
  <w:style w:type="paragraph" w:styleId="xl29">
    <w:name w:val="xl29"/>
    <w:basedOn w:val="Normal"/>
    <w:qFormat/>
    <w:pPr>
      <w:spacing w:before="100" w:after="100"/>
    </w:pPr>
    <w:rPr>
      <w:rFonts w:ascii="Arial" w:hAnsi="Arial" w:cs="Arial"/>
      <w:sz w:val="24"/>
      <w:szCs w:val="24"/>
    </w:rPr>
  </w:style>
  <w:style w:type="paragraph" w:styleId="xl30">
    <w:name w:val="xl30"/>
    <w:basedOn w:val="Normal"/>
    <w:qFormat/>
    <w:pPr>
      <w:spacing w:before="100" w:after="100"/>
    </w:pPr>
    <w:rPr>
      <w:rFonts w:ascii="Arial" w:hAnsi="Arial" w:cs="Arial"/>
      <w:sz w:val="24"/>
      <w:szCs w:val="24"/>
    </w:rPr>
  </w:style>
  <w:style w:type="paragraph" w:styleId="xl31">
    <w:name w:val="xl31"/>
    <w:basedOn w:val="Normal"/>
    <w:qFormat/>
    <w:pPr>
      <w:spacing w:before="100" w:after="100"/>
    </w:pPr>
    <w:rPr>
      <w:rFonts w:ascii="Arial" w:hAnsi="Arial" w:cs="Arial"/>
      <w:sz w:val="24"/>
      <w:szCs w:val="24"/>
    </w:rPr>
  </w:style>
  <w:style w:type="paragraph" w:styleId="xl32">
    <w:name w:val="xl32"/>
    <w:basedOn w:val="Normal"/>
    <w:qFormat/>
    <w:pPr>
      <w:pBdr>
        <w:top w:val="single" w:sz="8" w:space="0" w:color="000000"/>
        <w:left w:val="single" w:sz="8" w:space="0" w:color="000000"/>
        <w:bottom w:val="single" w:sz="8" w:space="0" w:color="000000"/>
        <w:right w:val="single" w:sz="8" w:space="0" w:color="000000"/>
      </w:pBdr>
      <w:spacing w:before="100" w:after="100"/>
    </w:pPr>
    <w:rPr>
      <w:rFonts w:ascii="Arial" w:hAnsi="Arial" w:cs="Arial"/>
      <w:b/>
      <w:bCs/>
      <w:sz w:val="24"/>
      <w:szCs w:val="24"/>
    </w:rPr>
  </w:style>
  <w:style w:type="paragraph" w:styleId="xl33">
    <w:name w:val="xl33"/>
    <w:basedOn w:val="Normal"/>
    <w:qFormat/>
    <w:pPr>
      <w:pBdr>
        <w:top w:val="single" w:sz="8" w:space="0" w:color="000000"/>
        <w:left w:val="single" w:sz="8" w:space="0" w:color="000000"/>
        <w:bottom w:val="single" w:sz="8" w:space="0" w:color="000000"/>
        <w:right w:val="single" w:sz="8" w:space="0" w:color="000000"/>
      </w:pBdr>
      <w:spacing w:before="100" w:after="100"/>
      <w:jc w:val="center"/>
    </w:pPr>
    <w:rPr>
      <w:rFonts w:ascii="Arial" w:hAnsi="Arial" w:cs="Arial"/>
      <w:b/>
      <w:bCs/>
      <w:sz w:val="24"/>
      <w:szCs w:val="24"/>
    </w:rPr>
  </w:style>
  <w:style w:type="paragraph" w:styleId="xl34">
    <w:name w:val="xl34"/>
    <w:basedOn w:val="Normal"/>
    <w:qFormat/>
    <w:pPr>
      <w:spacing w:before="100" w:after="100"/>
    </w:pPr>
    <w:rPr>
      <w:rFonts w:ascii="Arial" w:hAnsi="Arial" w:cs="Arial"/>
      <w:b/>
      <w:bCs/>
      <w:sz w:val="24"/>
      <w:szCs w:val="24"/>
      <w:u w:val="single"/>
    </w:rPr>
  </w:style>
  <w:style w:type="paragraph" w:styleId="xl35">
    <w:name w:val="xl35"/>
    <w:basedOn w:val="Normal"/>
    <w:qFormat/>
    <w:pPr>
      <w:spacing w:before="100" w:after="100"/>
    </w:pPr>
    <w:rPr>
      <w:rFonts w:ascii="Arial" w:hAnsi="Arial" w:cs="Arial"/>
      <w:b/>
      <w:bCs/>
      <w:sz w:val="24"/>
      <w:szCs w:val="24"/>
      <w:u w:val="single"/>
    </w:rPr>
  </w:style>
  <w:style w:type="paragraph" w:styleId="xl36">
    <w:name w:val="xl36"/>
    <w:basedOn w:val="Normal"/>
    <w:qFormat/>
    <w:pPr>
      <w:spacing w:before="100" w:after="100"/>
    </w:pPr>
    <w:rPr>
      <w:rFonts w:ascii="Arial" w:hAnsi="Arial" w:cs="Arial"/>
      <w:b/>
      <w:bCs/>
      <w:sz w:val="24"/>
      <w:szCs w:val="24"/>
    </w:rPr>
  </w:style>
  <w:style w:type="paragraph" w:styleId="xl37">
    <w:name w:val="xl37"/>
    <w:basedOn w:val="Normal"/>
    <w:qFormat/>
    <w:pPr>
      <w:spacing w:before="100" w:after="100"/>
      <w:jc w:val="end"/>
    </w:pPr>
    <w:rPr>
      <w:rFonts w:ascii="Arial" w:hAnsi="Arial" w:cs="Arial"/>
      <w:b/>
      <w:bCs/>
      <w:sz w:val="24"/>
      <w:szCs w:val="24"/>
    </w:rPr>
  </w:style>
  <w:style w:type="paragraph" w:styleId="xl38">
    <w:name w:val="xl38"/>
    <w:basedOn w:val="Normal"/>
    <w:qFormat/>
    <w:pPr>
      <w:spacing w:before="100" w:after="100"/>
    </w:pPr>
    <w:rPr>
      <w:rFonts w:ascii="Arial" w:hAnsi="Arial" w:cs="Arial"/>
      <w:sz w:val="24"/>
      <w:szCs w:val="24"/>
    </w:rPr>
  </w:style>
  <w:style w:type="paragraph" w:styleId="xl39">
    <w:name w:val="xl39"/>
    <w:basedOn w:val="Normal"/>
    <w:qFormat/>
    <w:pPr>
      <w:spacing w:before="100" w:after="100"/>
      <w:jc w:val="end"/>
    </w:pPr>
    <w:rPr>
      <w:rFonts w:ascii="Arial" w:hAnsi="Arial" w:cs="Arial"/>
      <w:sz w:val="24"/>
      <w:szCs w:val="24"/>
    </w:rPr>
  </w:style>
  <w:style w:type="paragraph" w:styleId="xl40">
    <w:name w:val="xl40"/>
    <w:basedOn w:val="Normal"/>
    <w:qFormat/>
    <w:pPr>
      <w:spacing w:before="100" w:after="100"/>
      <w:jc w:val="center"/>
    </w:pPr>
    <w:rPr>
      <w:rFonts w:ascii="Arial" w:hAnsi="Arial" w:cs="Arial"/>
      <w:sz w:val="24"/>
      <w:szCs w:val="24"/>
    </w:rPr>
  </w:style>
  <w:style w:type="paragraph" w:styleId="xl41">
    <w:name w:val="xl41"/>
    <w:basedOn w:val="Normal"/>
    <w:qFormat/>
    <w:pPr>
      <w:spacing w:before="100" w:after="100"/>
      <w:jc w:val="center"/>
    </w:pPr>
    <w:rPr>
      <w:rFonts w:ascii="Arial" w:hAnsi="Arial" w:cs="Arial"/>
      <w:sz w:val="24"/>
      <w:szCs w:val="24"/>
    </w:rPr>
  </w:style>
  <w:style w:type="paragraph" w:styleId="xl42">
    <w:name w:val="xl42"/>
    <w:basedOn w:val="Normal"/>
    <w:qFormat/>
    <w:pPr>
      <w:pBdr>
        <w:top w:val="single" w:sz="4" w:space="0" w:color="000000"/>
        <w:bottom w:val="double" w:sz="6" w:space="0" w:color="000000"/>
      </w:pBdr>
      <w:spacing w:before="100" w:after="100"/>
    </w:pPr>
    <w:rPr>
      <w:rFonts w:ascii="Arial" w:hAnsi="Arial" w:cs="Arial"/>
      <w:b/>
      <w:bCs/>
      <w:sz w:val="24"/>
      <w:szCs w:val="24"/>
    </w:rPr>
  </w:style>
  <w:style w:type="paragraph" w:styleId="xl43">
    <w:name w:val="xl43"/>
    <w:basedOn w:val="Normal"/>
    <w:qFormat/>
    <w:pPr>
      <w:pBdr>
        <w:top w:val="single" w:sz="4" w:space="0" w:color="000000"/>
        <w:bottom w:val="double" w:sz="6" w:space="0" w:color="000000"/>
      </w:pBdr>
      <w:spacing w:before="100" w:after="100"/>
    </w:pPr>
    <w:rPr>
      <w:rFonts w:ascii="Arial" w:hAnsi="Arial" w:cs="Arial"/>
      <w:b/>
      <w:bCs/>
      <w:sz w:val="24"/>
      <w:szCs w:val="24"/>
    </w:rPr>
  </w:style>
  <w:style w:type="paragraph" w:styleId="xl44">
    <w:name w:val="xl44"/>
    <w:basedOn w:val="Normal"/>
    <w:qFormat/>
    <w:pPr>
      <w:pBdr>
        <w:top w:val="single" w:sz="4" w:space="0" w:color="000000"/>
        <w:bottom w:val="double" w:sz="6" w:space="0" w:color="000000"/>
      </w:pBdr>
      <w:spacing w:before="100" w:after="100"/>
      <w:jc w:val="end"/>
    </w:pPr>
    <w:rPr>
      <w:rFonts w:ascii="Arial" w:hAnsi="Arial" w:cs="Arial"/>
      <w:b/>
      <w:bCs/>
      <w:sz w:val="24"/>
      <w:szCs w:val="24"/>
    </w:rPr>
  </w:style>
  <w:style w:type="paragraph" w:styleId="xl45">
    <w:name w:val="xl45"/>
    <w:basedOn w:val="Normal"/>
    <w:qFormat/>
    <w:pPr>
      <w:pBdr>
        <w:top w:val="single" w:sz="4" w:space="0" w:color="000000"/>
        <w:bottom w:val="double" w:sz="6" w:space="0" w:color="000000"/>
      </w:pBdr>
      <w:spacing w:before="100" w:after="100"/>
    </w:pPr>
    <w:rPr>
      <w:rFonts w:ascii="Arial" w:hAnsi="Arial" w:cs="Arial"/>
      <w:b/>
      <w:bCs/>
      <w:sz w:val="24"/>
      <w:szCs w:val="24"/>
    </w:rPr>
  </w:style>
  <w:style w:type="paragraph" w:styleId="xl46">
    <w:name w:val="xl46"/>
    <w:basedOn w:val="Normal"/>
    <w:qFormat/>
    <w:pPr>
      <w:pBdr>
        <w:top w:val="single" w:sz="4" w:space="0" w:color="000000"/>
        <w:bottom w:val="double" w:sz="6" w:space="0" w:color="000000"/>
      </w:pBdr>
      <w:spacing w:before="100" w:after="100"/>
    </w:pPr>
    <w:rPr>
      <w:rFonts w:ascii="Arial" w:hAnsi="Arial" w:cs="Arial"/>
      <w:b/>
      <w:bCs/>
      <w:sz w:val="24"/>
      <w:szCs w:val="24"/>
    </w:rPr>
  </w:style>
  <w:style w:type="paragraph" w:styleId="xl47">
    <w:name w:val="xl47"/>
    <w:basedOn w:val="Normal"/>
    <w:qFormat/>
    <w:pPr>
      <w:spacing w:before="100" w:after="100"/>
    </w:pPr>
    <w:rPr>
      <w:rFonts w:ascii="Arial" w:hAnsi="Arial" w:cs="Arial"/>
      <w:b/>
      <w:bCs/>
      <w:sz w:val="24"/>
      <w:szCs w:val="24"/>
    </w:rPr>
  </w:style>
  <w:style w:type="paragraph" w:styleId="xl48">
    <w:name w:val="xl48"/>
    <w:basedOn w:val="Normal"/>
    <w:qFormat/>
    <w:pPr>
      <w:spacing w:before="100" w:after="100"/>
    </w:pPr>
    <w:rPr>
      <w:rFonts w:ascii="Arial" w:hAnsi="Arial" w:cs="Arial"/>
      <w:b/>
      <w:bCs/>
      <w:sz w:val="24"/>
      <w:szCs w:val="24"/>
    </w:rPr>
  </w:style>
  <w:style w:type="paragraph" w:styleId="xl49">
    <w:name w:val="xl49"/>
    <w:basedOn w:val="Normal"/>
    <w:qFormat/>
    <w:pPr>
      <w:spacing w:before="100" w:after="100"/>
      <w:jc w:val="end"/>
    </w:pPr>
    <w:rPr>
      <w:rFonts w:ascii="Arial" w:hAnsi="Arial" w:cs="Arial"/>
      <w:b/>
      <w:bCs/>
      <w:sz w:val="24"/>
      <w:szCs w:val="24"/>
    </w:rPr>
  </w:style>
  <w:style w:type="paragraph" w:styleId="xl50">
    <w:name w:val="xl50"/>
    <w:basedOn w:val="Normal"/>
    <w:qFormat/>
    <w:pPr>
      <w:spacing w:before="100" w:after="100"/>
    </w:pPr>
    <w:rPr>
      <w:rFonts w:ascii="Arial" w:hAnsi="Arial" w:cs="Arial"/>
      <w:b/>
      <w:bCs/>
      <w:sz w:val="24"/>
      <w:szCs w:val="24"/>
    </w:rPr>
  </w:style>
  <w:style w:type="paragraph" w:styleId="xl51">
    <w:name w:val="xl51"/>
    <w:basedOn w:val="Normal"/>
    <w:qFormat/>
    <w:pPr>
      <w:spacing w:before="100" w:after="100"/>
    </w:pPr>
    <w:rPr>
      <w:rFonts w:ascii="Arial" w:hAnsi="Arial" w:cs="Arial"/>
      <w:b/>
      <w:bCs/>
      <w:sz w:val="24"/>
      <w:szCs w:val="24"/>
    </w:rPr>
  </w:style>
  <w:style w:type="paragraph" w:styleId="xl52">
    <w:name w:val="xl52"/>
    <w:basedOn w:val="Normal"/>
    <w:qFormat/>
    <w:pPr>
      <w:spacing w:before="100" w:after="100"/>
      <w:jc w:val="end"/>
    </w:pPr>
    <w:rPr>
      <w:rFonts w:ascii="Arial" w:hAnsi="Arial" w:cs="Arial"/>
      <w:b/>
      <w:bCs/>
      <w:sz w:val="24"/>
      <w:szCs w:val="24"/>
    </w:rPr>
  </w:style>
  <w:style w:type="paragraph" w:styleId="xl53">
    <w:name w:val="xl53"/>
    <w:basedOn w:val="Normal"/>
    <w:qFormat/>
    <w:pPr>
      <w:spacing w:before="100" w:after="100"/>
      <w:jc w:val="end"/>
    </w:pPr>
    <w:rPr>
      <w:rFonts w:ascii="Arial" w:hAnsi="Arial" w:cs="Arial"/>
      <w:b/>
      <w:bCs/>
      <w:sz w:val="24"/>
      <w:szCs w:val="24"/>
    </w:rPr>
  </w:style>
  <w:style w:type="paragraph" w:styleId="xl54">
    <w:name w:val="xl54"/>
    <w:basedOn w:val="Normal"/>
    <w:qFormat/>
    <w:pPr>
      <w:spacing w:before="100" w:after="100"/>
      <w:jc w:val="center"/>
    </w:pPr>
    <w:rPr>
      <w:rFonts w:ascii="Arial" w:hAnsi="Arial" w:cs="Arial"/>
      <w:b/>
      <w:bCs/>
      <w:sz w:val="24"/>
      <w:szCs w:val="24"/>
    </w:rPr>
  </w:style>
  <w:style w:type="paragraph" w:styleId="xl55">
    <w:name w:val="xl55"/>
    <w:basedOn w:val="Normal"/>
    <w:qFormat/>
    <w:pPr>
      <w:spacing w:before="100" w:after="100"/>
    </w:pPr>
    <w:rPr>
      <w:rFonts w:ascii="Arial" w:hAnsi="Arial" w:cs="Arial"/>
      <w:b/>
      <w:bCs/>
      <w:sz w:val="24"/>
      <w:szCs w:val="24"/>
    </w:rPr>
  </w:style>
  <w:style w:type="paragraph" w:styleId="xl56">
    <w:name w:val="xl56"/>
    <w:basedOn w:val="Normal"/>
    <w:qFormat/>
    <w:pPr>
      <w:spacing w:before="100" w:after="100"/>
    </w:pPr>
    <w:rPr>
      <w:rFonts w:ascii="Arial" w:hAnsi="Arial" w:cs="Arial"/>
      <w:sz w:val="24"/>
      <w:szCs w:val="24"/>
    </w:rPr>
  </w:style>
  <w:style w:type="paragraph" w:styleId="xl57">
    <w:name w:val="xl57"/>
    <w:basedOn w:val="Normal"/>
    <w:qFormat/>
    <w:pPr>
      <w:spacing w:before="100" w:after="100"/>
    </w:pPr>
    <w:rPr>
      <w:rFonts w:ascii="Arial" w:hAnsi="Arial" w:cs="Arial"/>
      <w:sz w:val="24"/>
      <w:szCs w:val="24"/>
    </w:rPr>
  </w:style>
  <w:style w:type="paragraph" w:styleId="xl58">
    <w:name w:val="xl58"/>
    <w:basedOn w:val="Normal"/>
    <w:qFormat/>
    <w:pPr>
      <w:spacing w:before="100" w:after="100"/>
      <w:jc w:val="end"/>
    </w:pPr>
    <w:rPr>
      <w:rFonts w:ascii="Arial" w:hAnsi="Arial" w:cs="Arial"/>
      <w:sz w:val="24"/>
      <w:szCs w:val="24"/>
    </w:rPr>
  </w:style>
  <w:style w:type="paragraph" w:styleId="xl59">
    <w:name w:val="xl59"/>
    <w:basedOn w:val="Normal"/>
    <w:qFormat/>
    <w:pPr>
      <w:pBdr>
        <w:top w:val="single" w:sz="4" w:space="0" w:color="000000"/>
        <w:bottom w:val="double" w:sz="6" w:space="0" w:color="000000"/>
      </w:pBdr>
      <w:spacing w:before="100" w:after="100"/>
    </w:pPr>
    <w:rPr>
      <w:rFonts w:ascii="Arial" w:hAnsi="Arial" w:cs="Arial"/>
      <w:b/>
      <w:bCs/>
      <w:sz w:val="24"/>
      <w:szCs w:val="24"/>
    </w:rPr>
  </w:style>
  <w:style w:type="paragraph" w:styleId="xl60">
    <w:name w:val="xl60"/>
    <w:basedOn w:val="Normal"/>
    <w:qFormat/>
    <w:pPr>
      <w:spacing w:before="100" w:after="100"/>
    </w:pPr>
    <w:rPr>
      <w:rFonts w:ascii="Arial" w:hAnsi="Arial" w:cs="Arial"/>
      <w:b/>
      <w:bCs/>
      <w:sz w:val="24"/>
      <w:szCs w:val="24"/>
    </w:rPr>
  </w:style>
  <w:style w:type="paragraph" w:styleId="xl61">
    <w:name w:val="xl61"/>
    <w:basedOn w:val="Normal"/>
    <w:qFormat/>
    <w:pPr>
      <w:spacing w:before="100" w:after="100"/>
      <w:jc w:val="end"/>
    </w:pPr>
    <w:rPr>
      <w:rFonts w:ascii="Arial" w:hAnsi="Arial" w:cs="Arial"/>
      <w:sz w:val="24"/>
      <w:szCs w:val="24"/>
    </w:rPr>
  </w:style>
  <w:style w:type="paragraph" w:styleId="xl62">
    <w:name w:val="xl62"/>
    <w:basedOn w:val="Normal"/>
    <w:qFormat/>
    <w:pPr>
      <w:spacing w:before="100" w:after="100"/>
      <w:jc w:val="center"/>
    </w:pPr>
    <w:rPr>
      <w:rFonts w:ascii="Arial" w:hAnsi="Arial" w:cs="Arial"/>
      <w:sz w:val="24"/>
      <w:szCs w:val="24"/>
    </w:rPr>
  </w:style>
  <w:style w:type="paragraph" w:styleId="xl63">
    <w:name w:val="xl63"/>
    <w:basedOn w:val="Normal"/>
    <w:qFormat/>
    <w:pPr>
      <w:spacing w:before="100" w:after="100"/>
    </w:pPr>
    <w:rPr>
      <w:rFonts w:ascii="Arial" w:hAnsi="Arial" w:cs="Arial"/>
      <w:b/>
      <w:bCs/>
      <w:sz w:val="24"/>
      <w:szCs w:val="24"/>
      <w:u w:val="single"/>
    </w:rPr>
  </w:style>
  <w:style w:type="paragraph" w:styleId="xl64">
    <w:name w:val="xl64"/>
    <w:basedOn w:val="Normal"/>
    <w:qFormat/>
    <w:pPr>
      <w:spacing w:before="100" w:after="100"/>
    </w:pPr>
    <w:rPr>
      <w:rFonts w:ascii="Arial" w:hAnsi="Arial" w:cs="Arial"/>
      <w:sz w:val="24"/>
      <w:szCs w:val="24"/>
    </w:rPr>
  </w:style>
  <w:style w:type="paragraph" w:styleId="xl65">
    <w:name w:val="xl65"/>
    <w:basedOn w:val="Normal"/>
    <w:qFormat/>
    <w:pPr>
      <w:spacing w:before="100" w:after="100"/>
    </w:pPr>
    <w:rPr>
      <w:rFonts w:ascii="Arial" w:hAnsi="Arial" w:cs="Arial"/>
      <w:b/>
      <w:bCs/>
      <w:sz w:val="24"/>
      <w:szCs w:val="24"/>
    </w:rPr>
  </w:style>
  <w:style w:type="paragraph" w:styleId="xl66">
    <w:name w:val="xl66"/>
    <w:basedOn w:val="Normal"/>
    <w:qFormat/>
    <w:pPr>
      <w:spacing w:before="100" w:after="100"/>
      <w:jc w:val="end"/>
    </w:pPr>
    <w:rPr>
      <w:rFonts w:ascii="Arial" w:hAnsi="Arial" w:cs="Arial"/>
      <w:b/>
      <w:bCs/>
      <w:sz w:val="24"/>
      <w:szCs w:val="24"/>
    </w:rPr>
  </w:style>
  <w:style w:type="paragraph" w:styleId="xl67">
    <w:name w:val="xl67"/>
    <w:basedOn w:val="Normal"/>
    <w:qFormat/>
    <w:pPr>
      <w:pBdr>
        <w:top w:val="single" w:sz="8" w:space="0" w:color="000000"/>
        <w:left w:val="single" w:sz="8" w:space="0" w:color="000000"/>
      </w:pBdr>
      <w:spacing w:before="100" w:after="100"/>
    </w:pPr>
    <w:rPr>
      <w:rFonts w:ascii="Arial" w:hAnsi="Arial" w:cs="Arial"/>
      <w:b/>
      <w:bCs/>
      <w:sz w:val="24"/>
      <w:szCs w:val="24"/>
    </w:rPr>
  </w:style>
  <w:style w:type="paragraph" w:styleId="xl68">
    <w:name w:val="xl68"/>
    <w:basedOn w:val="Normal"/>
    <w:qFormat/>
    <w:pPr>
      <w:spacing w:before="100" w:after="100"/>
    </w:pPr>
    <w:rPr>
      <w:rFonts w:ascii="Arial" w:hAnsi="Arial" w:cs="Arial"/>
      <w:b/>
      <w:bCs/>
      <w:sz w:val="24"/>
      <w:szCs w:val="24"/>
    </w:rPr>
  </w:style>
  <w:style w:type="paragraph" w:styleId="xl69">
    <w:name w:val="xl69"/>
    <w:basedOn w:val="Normal"/>
    <w:qFormat/>
    <w:pPr>
      <w:pBdr>
        <w:left w:val="single" w:sz="8" w:space="0" w:color="000000"/>
      </w:pBdr>
      <w:spacing w:before="100" w:after="100"/>
    </w:pPr>
    <w:rPr>
      <w:rFonts w:ascii="Arial" w:hAnsi="Arial" w:cs="Arial"/>
      <w:b/>
      <w:bCs/>
      <w:sz w:val="24"/>
      <w:szCs w:val="24"/>
    </w:rPr>
  </w:style>
  <w:style w:type="paragraph" w:styleId="xl70">
    <w:name w:val="xl70"/>
    <w:basedOn w:val="Normal"/>
    <w:qFormat/>
    <w:pPr>
      <w:pBdr>
        <w:left w:val="single" w:sz="8" w:space="0" w:color="000000"/>
        <w:bottom w:val="single" w:sz="8" w:space="0" w:color="000000"/>
      </w:pBdr>
      <w:spacing w:before="100" w:after="100"/>
    </w:pPr>
    <w:rPr>
      <w:rFonts w:ascii="Arial" w:hAnsi="Arial" w:cs="Arial"/>
      <w:b/>
      <w:bCs/>
      <w:sz w:val="24"/>
      <w:szCs w:val="24"/>
    </w:rPr>
  </w:style>
  <w:style w:type="paragraph" w:styleId="xl71">
    <w:name w:val="xl71"/>
    <w:basedOn w:val="Normal"/>
    <w:qFormat/>
    <w:pPr>
      <w:spacing w:before="100" w:after="100"/>
    </w:pPr>
    <w:rPr>
      <w:rFonts w:ascii="Arial" w:hAnsi="Arial" w:cs="Arial"/>
      <w:sz w:val="24"/>
      <w:szCs w:val="24"/>
    </w:rPr>
  </w:style>
  <w:style w:type="paragraph" w:styleId="xl72">
    <w:name w:val="xl72"/>
    <w:basedOn w:val="Normal"/>
    <w:qFormat/>
    <w:pPr>
      <w:spacing w:before="100" w:after="100"/>
    </w:pPr>
    <w:rPr>
      <w:rFonts w:ascii="Arial" w:hAnsi="Arial" w:cs="Arial"/>
      <w:b/>
      <w:bCs/>
      <w:sz w:val="24"/>
      <w:szCs w:val="24"/>
    </w:rPr>
  </w:style>
  <w:style w:type="paragraph" w:styleId="xl73">
    <w:name w:val="xl73"/>
    <w:basedOn w:val="Normal"/>
    <w:qFormat/>
    <w:pPr>
      <w:pBdr>
        <w:top w:val="single" w:sz="8" w:space="0" w:color="000000"/>
      </w:pBdr>
      <w:spacing w:before="100" w:after="100"/>
    </w:pPr>
    <w:rPr>
      <w:rFonts w:ascii="Arial" w:hAnsi="Arial" w:cs="Arial"/>
      <w:b/>
      <w:bCs/>
      <w:sz w:val="24"/>
      <w:szCs w:val="24"/>
    </w:rPr>
  </w:style>
  <w:style w:type="paragraph" w:styleId="xl74">
    <w:name w:val="xl74"/>
    <w:basedOn w:val="Normal"/>
    <w:qFormat/>
    <w:pPr>
      <w:pBdr>
        <w:top w:val="single" w:sz="8" w:space="0" w:color="000000"/>
        <w:right w:val="single" w:sz="8" w:space="0" w:color="000000"/>
      </w:pBdr>
      <w:spacing w:before="100" w:after="100"/>
    </w:pPr>
    <w:rPr>
      <w:rFonts w:ascii="Arial" w:hAnsi="Arial" w:cs="Arial"/>
      <w:b/>
      <w:bCs/>
      <w:sz w:val="24"/>
      <w:szCs w:val="24"/>
    </w:rPr>
  </w:style>
  <w:style w:type="paragraph" w:styleId="xl75">
    <w:name w:val="xl75"/>
    <w:basedOn w:val="Normal"/>
    <w:qFormat/>
    <w:pPr>
      <w:pBdr>
        <w:right w:val="single" w:sz="8" w:space="0" w:color="000000"/>
      </w:pBdr>
      <w:spacing w:before="100" w:after="100"/>
      <w:jc w:val="end"/>
    </w:pPr>
    <w:rPr>
      <w:rFonts w:ascii="Arial" w:hAnsi="Arial" w:cs="Arial"/>
      <w:b/>
      <w:bCs/>
      <w:sz w:val="24"/>
      <w:szCs w:val="24"/>
    </w:rPr>
  </w:style>
  <w:style w:type="paragraph" w:styleId="xl76">
    <w:name w:val="xl76"/>
    <w:basedOn w:val="Normal"/>
    <w:qFormat/>
    <w:pPr>
      <w:pBdr>
        <w:bottom w:val="single" w:sz="8" w:space="0" w:color="000000"/>
      </w:pBdr>
      <w:spacing w:before="100" w:after="100"/>
    </w:pPr>
    <w:rPr>
      <w:rFonts w:ascii="Arial" w:hAnsi="Arial" w:cs="Arial"/>
      <w:b/>
      <w:bCs/>
      <w:sz w:val="24"/>
      <w:szCs w:val="24"/>
    </w:rPr>
  </w:style>
  <w:style w:type="paragraph" w:styleId="xl77">
    <w:name w:val="xl77"/>
    <w:basedOn w:val="Normal"/>
    <w:qFormat/>
    <w:pPr>
      <w:pBdr>
        <w:top w:val="single" w:sz="4" w:space="0" w:color="000000"/>
        <w:bottom w:val="double" w:sz="6" w:space="0" w:color="000000"/>
      </w:pBdr>
      <w:spacing w:before="100" w:after="100"/>
    </w:pPr>
    <w:rPr>
      <w:rFonts w:ascii="Arial" w:hAnsi="Arial" w:cs="Arial"/>
      <w:sz w:val="24"/>
      <w:szCs w:val="24"/>
    </w:rPr>
  </w:style>
  <w:style w:type="paragraph" w:styleId="xl78">
    <w:name w:val="xl78"/>
    <w:basedOn w:val="Normal"/>
    <w:qFormat/>
    <w:pPr>
      <w:spacing w:before="100" w:after="100"/>
    </w:pPr>
    <w:rPr>
      <w:rFonts w:ascii="Arial" w:hAnsi="Arial" w:cs="Arial"/>
      <w:b/>
      <w:bCs/>
      <w:sz w:val="24"/>
      <w:szCs w:val="24"/>
    </w:rPr>
  </w:style>
  <w:style w:type="paragraph" w:styleId="xl79">
    <w:name w:val="xl79"/>
    <w:basedOn w:val="Normal"/>
    <w:qFormat/>
    <w:pPr>
      <w:pBdr>
        <w:top w:val="single" w:sz="8" w:space="0" w:color="000000"/>
        <w:left w:val="single" w:sz="8" w:space="0" w:color="000000"/>
        <w:bottom w:val="single" w:sz="8" w:space="0" w:color="000000"/>
      </w:pBdr>
      <w:spacing w:before="100" w:after="100"/>
    </w:pPr>
    <w:rPr>
      <w:rFonts w:ascii="Arial" w:hAnsi="Arial" w:cs="Arial"/>
      <w:b/>
      <w:bCs/>
      <w:sz w:val="24"/>
      <w:szCs w:val="24"/>
    </w:rPr>
  </w:style>
  <w:style w:type="paragraph" w:styleId="xl80">
    <w:name w:val="xl80"/>
    <w:basedOn w:val="Normal"/>
    <w:qFormat/>
    <w:pPr>
      <w:pBdr>
        <w:top w:val="single" w:sz="8" w:space="0" w:color="000000"/>
        <w:bottom w:val="single" w:sz="8" w:space="0" w:color="000000"/>
      </w:pBdr>
      <w:spacing w:before="100" w:after="100"/>
    </w:pPr>
    <w:rPr>
      <w:rFonts w:ascii="Arial" w:hAnsi="Arial" w:cs="Arial"/>
      <w:b/>
      <w:bCs/>
      <w:sz w:val="24"/>
      <w:szCs w:val="24"/>
    </w:rPr>
  </w:style>
  <w:style w:type="paragraph" w:styleId="xl81">
    <w:name w:val="xl81"/>
    <w:basedOn w:val="Normal"/>
    <w:qFormat/>
    <w:pPr>
      <w:pBdr>
        <w:top w:val="single" w:sz="8" w:space="0" w:color="000000"/>
        <w:bottom w:val="single" w:sz="8" w:space="0" w:color="000000"/>
        <w:right w:val="single" w:sz="8" w:space="0" w:color="000000"/>
      </w:pBdr>
      <w:spacing w:before="100" w:after="100"/>
    </w:pPr>
    <w:rPr>
      <w:rFonts w:ascii="Arial" w:hAnsi="Arial" w:cs="Arial"/>
      <w:b/>
      <w:bCs/>
      <w:sz w:val="24"/>
      <w:szCs w:val="24"/>
    </w:rPr>
  </w:style>
  <w:style w:type="paragraph" w:styleId="xl82">
    <w:name w:val="xl82"/>
    <w:basedOn w:val="Normal"/>
    <w:qFormat/>
    <w:pPr>
      <w:spacing w:before="100" w:after="100"/>
      <w:jc w:val="center"/>
    </w:pPr>
    <w:rPr>
      <w:rFonts w:ascii="Arial" w:hAnsi="Arial" w:cs="Arial"/>
      <w:b/>
      <w:bCs/>
      <w:sz w:val="40"/>
      <w:szCs w:val="40"/>
    </w:rPr>
  </w:style>
  <w:style w:type="paragraph" w:styleId="BlockText">
    <w:name w:val="Block Text"/>
    <w:basedOn w:val="Normal"/>
    <w:qFormat/>
    <w:pPr>
      <w:tabs>
        <w:tab w:val="clear" w:pos="720"/>
        <w:tab w:val="left" w:pos="0" w:leader="none"/>
      </w:tabs>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1.wmf"/><Relationship Id="rId11" Type="http://schemas.openxmlformats.org/officeDocument/2006/relationships/image" Target="media/image2.wmf"/><Relationship Id="rId12" Type="http://schemas.openxmlformats.org/officeDocument/2006/relationships/image" Target="media/image3.wmf"/><Relationship Id="rId13" Type="http://schemas.openxmlformats.org/officeDocument/2006/relationships/image" Target="media/image4.wmf"/><Relationship Id="rId14" Type="http://schemas.openxmlformats.org/officeDocument/2006/relationships/image" Target="media/image5.wmf"/><Relationship Id="rId15" Type="http://schemas.openxmlformats.org/officeDocument/2006/relationships/image" Target="media/image6.wmf"/><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2001-03-26T21:38:00Z</dcterms:created>
  <dc:creator>Fannie Sid</dc:creator>
  <dc:description/>
  <dc:language>en-CA</dc:language>
  <cp:lastModifiedBy>Katie Kaplan</cp:lastModifiedBy>
  <cp:lastPrinted>2001-03-26T15:40:00Z</cp:lastPrinted>
  <dcterms:modified xsi:type="dcterms:W3CDTF">2001-03-26T21:38:00Z</dcterms:modified>
  <cp:revision>2</cp:revision>
  <dc:subject/>
  <dc:title>BEFORE THE PUBLIC UTILITIES COMMISSION OF THE STATE OF CALIFORNIA</dc:title>
</cp:coreProperties>
</file>