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embeddings/oleObject1.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wmf" ContentType="image/x-wmf"/>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                                                                                                                                  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pPr>
      <w:r>
        <w:rPr/>
      </w:r>
    </w:p>
    <w:p>
      <w:pPr>
        <w:pStyle w:val="Normal"/>
        <w:tabs>
          <w:tab w:val="clear" w:pos="720"/>
          <w:tab w:val="left" w:pos="6930" w:leader="none"/>
        </w:tabs>
        <w:ind w:start="547" w:end="1282"/>
        <w:rPr/>
      </w:pPr>
      <w:r>
        <w:rPr/>
      </w:r>
    </w:p>
    <w:p>
      <w:pPr>
        <w:pStyle w:val="Normal"/>
        <w:rPr/>
      </w:pPr>
      <w:r>
        <w:rPr/>
        <w:t>March 26, 2001</w:t>
      </w:r>
    </w:p>
    <w:p>
      <w:pPr>
        <w:pStyle w:val="Normal"/>
        <w:rPr/>
      </w:pPr>
      <w:r>
        <w:rPr/>
      </w:r>
    </w:p>
    <w:p>
      <w:pPr>
        <w:pStyle w:val="Normal"/>
        <w:rPr/>
      </w:pPr>
      <w:r>
        <w:rPr/>
      </w:r>
    </w:p>
    <w:p>
      <w:pPr>
        <w:pStyle w:val="Normal"/>
        <w:rPr/>
      </w:pPr>
      <w:r>
        <w:rPr/>
      </w:r>
    </w:p>
    <w:p>
      <w:pPr>
        <w:pStyle w:val="BodyTextIndent"/>
        <w:rPr/>
      </w:pPr>
      <w:r>
        <w:rPr/>
        <w:t>TO:  PARTIES OF RECORD IN APPLICATION 00-11-038 ET AL.</w:t>
      </w:r>
    </w:p>
    <w:p>
      <w:pPr>
        <w:pStyle w:val="Normal"/>
        <w:rPr/>
      </w:pPr>
      <w:r>
        <w:rPr/>
      </w:r>
    </w:p>
    <w:p>
      <w:pPr>
        <w:pStyle w:val="Normal"/>
        <w:rPr/>
      </w:pPr>
      <w:r>
        <w:rPr/>
      </w:r>
    </w:p>
    <w:p>
      <w:pPr>
        <w:pStyle w:val="Normal"/>
        <w:rPr/>
      </w:pPr>
      <w:r>
        <w:rPr/>
        <w:t>This is the draft decision of Commissioner Lynch.  It will be on the Commission’s agenda at the next regular meeting.  The Commission may act then, or it may postpone action until later.</w:t>
      </w:r>
    </w:p>
    <w:p>
      <w:pPr>
        <w:pStyle w:val="Normal"/>
        <w:rPr/>
      </w:pPr>
      <w:r>
        <w:rPr/>
      </w:r>
    </w:p>
    <w:p>
      <w:pPr>
        <w:pStyle w:val="Normal"/>
        <w:rPr/>
      </w:pPr>
      <w:r>
        <w:rPr/>
        <w:t>When the Commission acts on the draft decision, it may adopt all or part of it as written, amend or modify it, or set it aside and prepare its own decision.  Only when the Commission acts does the decision become binding on the parties.</w:t>
      </w:r>
    </w:p>
    <w:p>
      <w:pPr>
        <w:pStyle w:val="Normal"/>
        <w:rPr/>
      </w:pPr>
      <w:r>
        <w:rPr/>
      </w:r>
    </w:p>
    <w:p>
      <w:pPr>
        <w:pStyle w:val="Normal"/>
        <w:rPr/>
      </w:pPr>
      <w:r>
        <w:rPr/>
        <w:t>Rule 77.7(f)(9) provides for reduction or waiver of the 30-day period for public review and comment when public necessity requires such reduction.  We must balance whether the public necessity of adopting an order outweighs the public interest in having the full 30-day review and comment.  We are convinced that this draft decision falls under Rule 77.7(f)(9), and for that reason, we have waived comments on the draft decision.</w:t>
      </w:r>
    </w:p>
    <w:p>
      <w:pPr>
        <w:pStyle w:val="Normal"/>
        <w:rPr/>
      </w:pPr>
      <w:r>
        <w:rPr/>
      </w:r>
    </w:p>
    <w:p>
      <w:pPr>
        <w:pStyle w:val="Normal"/>
        <w:rPr>
          <w:u w:val="single"/>
        </w:rPr>
      </w:pPr>
      <w:r>
        <w:rPr>
          <w:u w:val="single"/>
        </w:rPr>
        <w:t>/s/ ANGELA K. MINKIN, for</w:t>
      </w:r>
    </w:p>
    <w:p>
      <w:pPr>
        <w:pStyle w:val="Normal"/>
        <w:rPr/>
      </w:pPr>
      <w:r>
        <w:rPr/>
        <w:t>Lynn T. Carew, Chief</w:t>
      </w:r>
    </w:p>
    <w:p>
      <w:pPr>
        <w:pStyle w:val="Normal"/>
        <w:rPr/>
      </w:pPr>
      <w:r>
        <w:rPr/>
        <w:t>Administrative Law Judge</w:t>
      </w:r>
    </w:p>
    <w:p>
      <w:pPr>
        <w:pStyle w:val="Normal"/>
        <w:rPr/>
      </w:pPr>
      <w:r>
        <w:rPr/>
      </w:r>
    </w:p>
    <w:p>
      <w:pPr>
        <w:pStyle w:val="Normal"/>
        <w:rPr/>
      </w:pPr>
      <w:r>
        <w:rPr/>
        <w:t>LTC:sid</w:t>
      </w:r>
    </w:p>
    <w:p>
      <w:pPr>
        <w:pStyle w:val="Normal"/>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152" w:footer="720" w:bottom="1440"/>
          <w:pgNumType w:fmt="decimal"/>
          <w:formProt w:val="false"/>
          <w:titlePg/>
          <w:textDirection w:val="lrTb"/>
          <w:docGrid w:type="default" w:linePitch="360" w:charSpace="0"/>
        </w:sectPr>
        <w:pStyle w:val="Normal"/>
        <w:rPr/>
      </w:pPr>
      <w:r>
        <w:rPr/>
        <w:t>Attachments</w:t>
      </w:r>
    </w:p>
    <w:p>
      <w:pPr>
        <w:pStyle w:val="Header"/>
        <w:rPr/>
      </w:pPr>
      <w:r>
        <w:rPr/>
        <w:t>COM/LYN/sid</w:t>
        <w:tab/>
      </w:r>
      <w:r>
        <w:rPr>
          <w:rFonts w:cs="Helvetica;Arial" w:ascii="Helvetica;Arial" w:hAnsi="Helvetica;Arial"/>
          <w:b/>
          <w:sz w:val="36"/>
        </w:rPr>
        <w:t>DRAFT</w:t>
      </w:r>
      <w:r>
        <w:rPr/>
        <w:tab/>
        <w:t>Item 4</w:t>
      </w:r>
    </w:p>
    <w:p>
      <w:pPr>
        <w:pStyle w:val="Header"/>
        <w:rPr/>
      </w:pPr>
      <w:r>
        <w:rPr/>
        <w:tab/>
        <w:tab/>
        <w:t>3/27/2001</w:t>
      </w:r>
    </w:p>
    <w:p>
      <w:pPr>
        <w:pStyle w:val="Normal"/>
        <w:rPr/>
      </w:pPr>
      <w:r>
        <w:rPr/>
      </w:r>
    </w:p>
    <w:p>
      <w:pPr>
        <w:pStyle w:val="Header"/>
        <w:widowControl/>
        <w:tabs>
          <w:tab w:val="clear" w:pos="4320"/>
          <w:tab w:val="right" w:pos="9360" w:leader="none"/>
        </w:tabs>
        <w:rPr/>
      </w:pPr>
      <w:r>
        <w:rPr/>
        <w:t xml:space="preserve">Decision </w:t>
      </w:r>
      <w:r>
        <w:rPr>
          <w:b/>
          <w:u w:val="single"/>
        </w:rPr>
        <w:t>DRAFT DECISION OF COMMISSIONER LYNCH</w:t>
      </w:r>
      <w:r>
        <w:rPr>
          <w:b/>
        </w:rPr>
        <w:t xml:space="preserve">  </w:t>
      </w:r>
      <w:r>
        <w:rPr>
          <w:b/>
          <w:sz w:val="24"/>
        </w:rPr>
        <w:t>(Mailed 3/26/2001)</w:t>
      </w:r>
    </w:p>
    <w:p>
      <w:pPr>
        <w:pStyle w:val="Header"/>
        <w:widowControl/>
        <w:tabs>
          <w:tab w:val="clear" w:pos="4320"/>
          <w:tab w:val="clear" w:pos="9360"/>
        </w:tabs>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tab/>
              <w:tab/>
              <w:t>(U 39 E)</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p>
            <w:pPr>
              <w:pStyle w:val="main"/>
              <w:rPr>
                <w:rFonts w:ascii="PALATINO;Book Antiqua" w:hAnsi="PALATINO;Book Antiqua" w:cs="PALATINO;Book Antiqua"/>
              </w:rPr>
            </w:pPr>
            <w:r>
              <w:rPr>
                <w:rFonts w:cs="PALATINO;Book Antiqua" w:ascii="PALATINO;Book Antiqua" w:hAnsi="PALATINO;Book Antiqua"/>
              </w:rPr>
              <w:t>AB 1X</w:t>
            </w:r>
          </w:p>
        </w:tc>
      </w:tr>
    </w:tbl>
    <w:p>
      <w:pPr>
        <w:pStyle w:val="Normal"/>
        <w:suppressAutoHyphens w:val="true"/>
        <w:rPr/>
      </w:pPr>
      <w:r>
        <w:rPr/>
      </w:r>
    </w:p>
    <w:p>
      <w:pPr>
        <w:pStyle w:val="Normal"/>
        <w:rPr/>
      </w:pPr>
      <w:r>
        <w:rPr/>
      </w:r>
    </w:p>
    <w:p>
      <w:pPr>
        <w:pStyle w:val="main"/>
        <w:rPr/>
      </w:pPr>
      <w:r>
        <w:rPr/>
        <w:t>INTERIM OPINION</w:t>
      </w:r>
    </w:p>
    <w:p>
      <w:pPr>
        <w:pStyle w:val="Normal"/>
        <w:rPr/>
      </w:pPr>
      <w:r>
        <w:rPr/>
      </w:r>
    </w:p>
    <w:p>
      <w:pPr>
        <w:pStyle w:val="Heading1"/>
        <w:tabs>
          <w:tab w:val="left" w:pos="360" w:leader="none"/>
          <w:tab w:val="left" w:pos="720" w:leader="none"/>
        </w:tabs>
        <w:rPr/>
      </w:pPr>
      <w:r>
        <w:rPr/>
        <w:t>Summary</w:t>
      </w:r>
    </w:p>
    <w:p>
      <w:pPr>
        <w:pStyle w:val="standard"/>
        <w:rPr/>
      </w:pPr>
      <w:r>
        <w:rPr/>
        <w:t>This order implements legislation allowing the state to provide electricity that its utilities are unable to provide.  First, this order requires utilities to provide the Department of Water Resources with the money they have collected, that was earned by the sale of power paid for by the Department of Water Resources.  Currently, both utilities and the Department of Water Resources sell power to end use customers, but the utilities collect revenues in lump sum for all power that is delivered.  Second, this order determines what method the Commission will use to calculate the “CPA,” the California Procurement Adjustment established by Public Utilities Code Section 360.5.</w:t>
      </w:r>
      <w:r>
        <w:rPr>
          <w:rStyle w:val="FootnoteCharacters"/>
          <w:rStyle w:val="FootnoteReference"/>
        </w:rPr>
        <w:footnoteReference w:id="2"/>
      </w:r>
      <w:r>
        <w:rPr/>
        <w:t xml:space="preserve">  This order then applies that method, and calculates—for each utility—a company-wide average CPA rate.  Using that rate, this order determines the CPA revenue amount, which can be used by the Department of Water Resources to begin the process of issuing bonds.  Following a discussion of the context in which this decision is issued, we take these actions in Sections VI, VII and VIII, below.</w:t>
      </w:r>
    </w:p>
    <w:p>
      <w:pPr>
        <w:pStyle w:val="Heading1"/>
        <w:tabs>
          <w:tab w:val="left" w:pos="360" w:leader="none"/>
          <w:tab w:val="left" w:pos="720" w:leader="none"/>
        </w:tabs>
        <w:rPr/>
      </w:pPr>
      <w:r>
        <w:rPr/>
        <w:t>Background</w:t>
      </w:r>
    </w:p>
    <w:p>
      <w:pPr>
        <w:pStyle w:val="standard"/>
        <w:rPr/>
      </w:pPr>
      <w:r>
        <w:rPr/>
        <w:t>On February 1, 2001, Assembly Bill (AB) 1 from the First Extraordinary Session (AB 1X) was signed into law.  Wholesale energy prices that had soared to unprecedented levels had caused a deterioration in Southern California Edison Company’s (Edison) and Pacific Gas &amp; Electric Company’s (PG&amp;E) financial condition, leaving them unable to buy all the power needed to serve their customers.  In response to this emergency situation, AB 1X authorizes DWR to purchase electric power for AB 1X sale directly to retail end-use customers</w:t>
      </w:r>
      <w:r>
        <w:rPr>
          <w:rStyle w:val="FootnoteCharacters"/>
          <w:rStyle w:val="FootnoteReference"/>
        </w:rPr>
        <w:footnoteReference w:id="3"/>
      </w:r>
      <w:r>
        <w:rPr/>
        <w:t xml:space="preserve"> being served by utilities.</w:t>
      </w:r>
      <w:r>
        <w:rPr>
          <w:rStyle w:val="FootnoteCharacters"/>
          <w:rStyle w:val="FootnoteReference"/>
        </w:rPr>
        <w:footnoteReference w:id="4"/>
      </w:r>
      <w:r>
        <w:rPr/>
        <w:t xml:space="preserve">  When these customers take delivery of DWR’s power, they are deemed to have purchased it.  DWR power is to be allocated for delivery  to all classes of retail end-use customers on a pro rata basis, to the extent possible.</w:t>
      </w:r>
      <w:r>
        <w:rPr>
          <w:rStyle w:val="FootnoteCharacters"/>
          <w:rStyle w:val="FootnoteReference"/>
        </w:rPr>
        <w:footnoteReference w:id="5"/>
      </w:r>
      <w:r>
        <w:rPr/>
        <w:t xml:space="preserve"> </w:t>
      </w:r>
    </w:p>
    <w:p>
      <w:pPr>
        <w:pStyle w:val="standard"/>
        <w:rPr/>
      </w:pPr>
      <w:r>
        <w:rPr/>
        <w:t>AB 1X contains a number of mechanisms to pay DWR for the electricity it sells.  Several are relevant here.  Section 2 of AB 1X adds Section 360.5 to the Public Utilities Code.  Section 360.5 contains detailed requirements for the calculation of an amount know as the “California Procurement Adjustment” or “CPA.”  That statute provides:</w:t>
      </w:r>
    </w:p>
    <w:p>
      <w:pPr>
        <w:pStyle w:val="quote"/>
        <w:rPr/>
      </w:pPr>
      <w:r>
        <w:rPr/>
        <w:t>“</w:t>
      </w:r>
      <w:r>
        <w:rPr/>
        <w:t xml:space="preserve">The commission shall determine that portion of each existing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  That amount shall be payable, by each electrical corporation, upon receipt by the electrical corporation of the revenues from its retail end use customers, to the department for deposit in the Department of Water Resources Electric Power Fund, established by Section 80200 of the Water Code.  The amount determined pursuant to this subdivision shall be known as the Fixed Department of Water Resources Set-Aside.” </w:t>
      </w:r>
    </w:p>
    <w:p>
      <w:pPr>
        <w:pStyle w:val="standard"/>
        <w:rPr/>
      </w:pPr>
      <w:r>
        <w:rPr/>
        <w:t>AB 1X also establishes the DWR Electric Power Fund (the “Fund”) in the State Treasury, and authorizes DWR to issue bonds, notes, and other evidences of indebtedness (collectively, “Bonds”) for certain limited purposes, including:</w:t>
      </w:r>
    </w:p>
    <w:p>
      <w:pPr>
        <w:pStyle w:val="quote"/>
        <w:numPr>
          <w:ilvl w:val="0"/>
          <w:numId w:val="5"/>
        </w:numPr>
        <w:tabs>
          <w:tab w:val="clear" w:pos="720"/>
          <w:tab w:val="left" w:pos="1080" w:leader="none"/>
        </w:tabs>
        <w:ind w:hanging="360" w:start="1080" w:end="1260"/>
        <w:rPr/>
      </w:pPr>
      <w:r>
        <w:rPr/>
        <w:t>paying the costs of electric power and transmission, scheduling, and other related expenses, or to reimburse expenditures from the Fund for those purposes.</w:t>
      </w:r>
    </w:p>
    <w:p>
      <w:pPr>
        <w:pStyle w:val="quote"/>
        <w:numPr>
          <w:ilvl w:val="0"/>
          <w:numId w:val="7"/>
        </w:numPr>
        <w:tabs>
          <w:tab w:val="clear" w:pos="720"/>
          <w:tab w:val="left" w:pos="1080" w:leader="none"/>
        </w:tabs>
        <w:ind w:hanging="360" w:start="1080" w:end="1260"/>
        <w:rPr/>
      </w:pPr>
      <w:r>
        <w:rPr/>
        <w:t>repaying to the General Fund certain advances made to DWR for the power purchase program; and</w:t>
      </w:r>
    </w:p>
    <w:p>
      <w:pPr>
        <w:pStyle w:val="quote"/>
        <w:numPr>
          <w:ilvl w:val="0"/>
          <w:numId w:val="11"/>
        </w:numPr>
        <w:tabs>
          <w:tab w:val="clear" w:pos="720"/>
          <w:tab w:val="left" w:pos="1080" w:leader="none"/>
        </w:tabs>
        <w:ind w:hanging="360" w:start="1080" w:end="1260"/>
        <w:rPr/>
      </w:pPr>
      <w:r>
        <w:rPr/>
        <w:t>establishing or maintaining reserves in connection with the Bonds and paying certain costs incidental to the issuance, payment and security of the Bonds.</w:t>
      </w:r>
    </w:p>
    <w:p>
      <w:pPr>
        <w:pStyle w:val="standard"/>
        <w:rPr/>
      </w:pPr>
      <w:r>
        <w:rPr/>
        <w:t>Water Code Section 80130, enacted as part of AB 1X, addresses the issuance of bonds by DWR to finance electricity purchases.  That statute provides in relevant part:</w:t>
      </w:r>
    </w:p>
    <w:p>
      <w:pPr>
        <w:pStyle w:val="quote"/>
        <w:rPr/>
      </w:pPr>
      <w:r>
        <w:rPr/>
        <w:t>“</w:t>
      </w:r>
      <w:r>
        <w:rPr/>
        <w:t>In no event shall the [DWR] authorize the issuance of bonds … in an aggregate amount greater than the amount calculated by multiplying by a factor of four the annual revenues generated by the California Procurement Adjustment, as determined by the commission pursuant to Section 360.5.”</w:t>
      </w:r>
    </w:p>
    <w:p>
      <w:pPr>
        <w:pStyle w:val="Heading1"/>
        <w:tabs>
          <w:tab w:val="left" w:pos="360" w:leader="none"/>
          <w:tab w:val="left" w:pos="720" w:leader="none"/>
        </w:tabs>
        <w:rPr/>
      </w:pPr>
      <w:r>
        <w:rPr>
          <w:rFonts w:eastAsia="Helvetica;Arial"/>
        </w:rPr>
        <w:t xml:space="preserve"> </w:t>
      </w:r>
      <w:r>
        <w:rPr/>
        <w:t>Procedural History</w:t>
      </w:r>
    </w:p>
    <w:p>
      <w:pPr>
        <w:pStyle w:val="standard"/>
        <w:rPr/>
      </w:pPr>
      <w:r>
        <w:rPr/>
        <w:t>On February 5, 2001, Administrative Law Judge (ALJ) Joseph DeUlloa issued a ruling setting a prehearing conference on February 6, 2001, to discuss the requirements of the Department of Finance for implementing AB 1X.  The ALJ ruling also set workshops</w:t>
      </w:r>
      <w:r>
        <w:rPr>
          <w:rStyle w:val="FootnoteCharacters"/>
          <w:rStyle w:val="FootnoteReference"/>
        </w:rPr>
        <w:footnoteReference w:id="6"/>
      </w:r>
      <w:r>
        <w:rPr/>
        <w:t xml:space="preserve"> on February 6 and 7 for the implementation of AB 1X and a second prehearing conference on February 7 to discuss workshop progress.  </w:t>
      </w:r>
    </w:p>
    <w:p>
      <w:pPr>
        <w:pStyle w:val="standard"/>
        <w:rPr/>
      </w:pPr>
      <w:r>
        <w:rPr/>
        <w:t>Initially, the utilities proposed to submit advice letters that would take effect on the day submitted to the Commission.  The ALJ rejected this approach and issued a ruling directing the utilities to serve their proposals for determining CPA.  The ruling also provided parties an opportunity to comment on the proposals for determining CPA.  The issues we decide are not predicated on factual disputes.  Rather, the issues we decide are interpretations of law. Although a trial-type evidentiary hearing has not been held, parties have been afforded an opportunity to be heard through written comment on the utilities’ proposals, and DWR’s letter, which afforded a fair hearing.</w:t>
      </w:r>
    </w:p>
    <w:p>
      <w:pPr>
        <w:pStyle w:val="standard"/>
        <w:rPr/>
      </w:pPr>
      <w:r>
        <w:rPr/>
        <w:t xml:space="preserve">On February 23, 2001, Edison, PG&amp;E, and SDG&amp;E each served a proposal to calculate the CPA on a monthly basis by subtracting generation-related costs from generation-related revenues.  Each proposed to calculate generation-related revenue residually from the total retail rate and also adjust revenues for certain costs.  Each utility’s proposal for calculating CPA differs in the inputs used in its calculation.  Further, all three, in effect, propose to create balancing accounts for tracking CPA on a monthly basis. </w:t>
      </w:r>
    </w:p>
    <w:p>
      <w:pPr>
        <w:pStyle w:val="standard"/>
        <w:rPr/>
      </w:pPr>
      <w:r>
        <w:rPr/>
        <w:t xml:space="preserve">The Office of Ratepayer Advocates (ORA), Aglet Consumer Alliance (Aglet), and Enron Energy Services, Inc. (Enron) either challenge some of the adjustments made in calculating generation-related revenues and / or also challenge some of the expenses the utilities include in generation-related costs.   Greenlining Institute and Latino Issues Forum request that the Commission exempt CARE eligible customers from the CPA.  TURN offered more extensive comment and advocates that the Commission also consider other aspects of AB 1X in adopting a CPA, such as freezing rates for residential usage up to 130% of baseline, and reject the utilities’ balancing account approach.  Further, TURN also challenges the adjustments to revenue, and generation costs identified by the utilities.  </w:t>
      </w:r>
    </w:p>
    <w:p>
      <w:pPr>
        <w:pStyle w:val="Heading1"/>
        <w:tabs>
          <w:tab w:val="clear" w:pos="360"/>
          <w:tab w:val="left" w:pos="450" w:leader="none"/>
          <w:tab w:val="left" w:pos="720" w:leader="none"/>
        </w:tabs>
        <w:rPr/>
      </w:pPr>
      <w:r>
        <w:rPr/>
        <w:t>DWR’s Request</w:t>
      </w:r>
    </w:p>
    <w:p>
      <w:pPr>
        <w:pStyle w:val="standard"/>
        <w:rPr/>
      </w:pPr>
      <w:r>
        <w:rPr/>
        <w:t xml:space="preserve">In a letter to the Commission dated March 14, 2001, DWR set forth its views on how the Commission should determine the CPA.  (See Attachment A.)   This letter was provided the parties for comment by ALJ ruling. </w:t>
      </w:r>
    </w:p>
    <w:p>
      <w:pPr>
        <w:pStyle w:val="standard"/>
        <w:rPr/>
      </w:pPr>
      <w:r>
        <w:rPr/>
        <w:t>DWR believes the Commission’s determination of the CPA is a critical element in the implementation of AB 1X and the initial step in establishing a revenue source for the DWR in meeting its power purchase responsibilities.  Further, DWR asserts that the CPA is also important to any long-term or short-term financing.  Based on the comments received from parties, we agree with DWR’s characterization of the importance of the CPA.</w:t>
      </w:r>
    </w:p>
    <w:p>
      <w:pPr>
        <w:pStyle w:val="standard"/>
        <w:rPr/>
      </w:pPr>
      <w:r>
        <w:rPr/>
        <w:t xml:space="preserve">DWR argues that nothing in AB 1X suggests that the utilities should retain any revenues attributable to power furnished by DWR.  DWR believes Section 360.5 contemplates that utilities will no longer bear costs for the “net short” power that DWR buys in their place, and that utility generation rates should be adjusted to reflect DWR’s purchases.  DWR asserts that Section 360.5 was also intended to provide financial assurance to the DWR for its power purchases.  </w:t>
      </w:r>
    </w:p>
    <w:p>
      <w:pPr>
        <w:pStyle w:val="standard"/>
        <w:rPr/>
      </w:pPr>
      <w:r>
        <w:rPr/>
        <w:t xml:space="preserve">In general summary, DWR believes that for the sale of net short energy to the customers of each utility, </w:t>
      </w:r>
      <w:r>
        <w:rPr>
          <w:i/>
        </w:rPr>
        <w:t>DWR</w:t>
      </w:r>
      <w:r>
        <w:rPr/>
        <w:t xml:space="preserve"> should receive:</w:t>
      </w:r>
    </w:p>
    <w:p>
      <w:pPr>
        <w:pStyle w:val="quote"/>
        <w:ind w:hanging="360" w:start="1080" w:end="1260"/>
        <w:rPr/>
      </w:pPr>
      <w:r>
        <w:rPr/>
        <w:t xml:space="preserve">(i)  a per-kWh price equal to the applicable generation-related retail rate per kilowatt-hour established for each utility as in effect on January 5, 2001; plus </w:t>
      </w:r>
    </w:p>
    <w:p>
      <w:pPr>
        <w:pStyle w:val="quote"/>
        <w:tabs>
          <w:tab w:val="clear" w:pos="720"/>
          <w:tab w:val="left" w:pos="1080" w:leader="none"/>
        </w:tabs>
        <w:ind w:hanging="450" w:start="1080" w:end="1260"/>
        <w:rPr/>
      </w:pPr>
      <w:r>
        <w:rPr/>
        <w:t>(ii)  a Commission-determined portion of the January 5, 2001 rate for power the utility continues to sell.  (Fixed DWR Set</w:t>
        <w:noBreakHyphen/>
        <w:t>Aside.)</w:t>
      </w:r>
    </w:p>
    <w:p>
      <w:pPr>
        <w:pStyle w:val="standard"/>
        <w:ind w:hanging="0" w:end="0"/>
        <w:rPr/>
      </w:pPr>
      <w:r>
        <w:rPr/>
        <w:t xml:space="preserve">Further, </w:t>
      </w:r>
      <w:r>
        <w:rPr>
          <w:i/>
        </w:rPr>
        <w:t>each utility</w:t>
      </w:r>
      <w:r>
        <w:rPr/>
        <w:t>, on a per-kWh basis, should receive:</w:t>
      </w:r>
    </w:p>
    <w:p>
      <w:pPr>
        <w:pStyle w:val="quote"/>
        <w:ind w:hanging="450" w:start="1170" w:end="1260"/>
        <w:rPr/>
      </w:pPr>
      <w:r>
        <w:rPr/>
        <w:t>(i)  the components of the January 5, 2001 rate attributed at the time of original rate-making to power that the corporation will continue to sell to its retail end use customers, (</w:t>
      </w:r>
      <w:r>
        <w:rPr>
          <w:i/>
        </w:rPr>
        <w:t>i.e.</w:t>
      </w:r>
      <w:r>
        <w:rPr/>
        <w:t>, native generation, qualifying facility contracts, existing bilateral contracts and ancillary services); plus</w:t>
      </w:r>
    </w:p>
    <w:p>
      <w:pPr>
        <w:pStyle w:val="quote"/>
        <w:ind w:hanging="450" w:start="1170" w:end="1260"/>
        <w:rPr/>
      </w:pPr>
      <w:r>
        <w:rPr/>
        <w:t>(ii)  a portion of the January 5, 2001 rate for power the electrical corporation continues to sell, to be determined by the Commission, (</w:t>
      </w:r>
      <w:r>
        <w:rPr>
          <w:i/>
        </w:rPr>
        <w:t>i.e.</w:t>
      </w:r>
      <w:r>
        <w:rPr/>
        <w:t>, the portion of such rate which is not determined to be part of the Fixed DWR Set-Aside.)</w:t>
      </w:r>
    </w:p>
    <w:p>
      <w:pPr>
        <w:pStyle w:val="standard"/>
        <w:rPr/>
      </w:pPr>
      <w:r>
        <w:rPr/>
        <w:t>Specifically, for each utility, DWR believes the Commission should do the following:</w:t>
      </w:r>
    </w:p>
    <w:p>
      <w:pPr>
        <w:pStyle w:val="quote"/>
        <w:rPr/>
      </w:pPr>
      <w:r>
        <w:rPr/>
        <w:t>First:  Identify the generation related component of the corporation’s retail rate that was in effect on January 5, 2001, expressed in terms of cents per kilowatt-hour (the “Total Generation Related Rate”).</w:t>
      </w:r>
    </w:p>
    <w:p>
      <w:pPr>
        <w:pStyle w:val="quote"/>
        <w:rPr/>
      </w:pPr>
      <w:r>
        <w:rPr/>
        <w:t xml:space="preserve">Second:  Determine the “sum of the costs” (also expressed as a rate, </w:t>
      </w:r>
      <w:r>
        <w:rPr>
          <w:i/>
        </w:rPr>
        <w:t>i.e.</w:t>
      </w:r>
      <w:r>
        <w:rPr/>
        <w:t>, in terms of cents per kilowatt-hour) imputed by the Commission to the corporation’s own generation, qualifying facility contracts, existing bilateral contracts, and ancillary services at the time the January 5, 2001 rate was established (the “Utility Retained Rate”).</w:t>
      </w:r>
    </w:p>
    <w:p>
      <w:pPr>
        <w:pStyle w:val="quote"/>
        <w:rPr/>
      </w:pPr>
      <w:r>
        <w:rPr/>
        <w:t xml:space="preserve">Third:  Determine “the difference between” the Total Generation Related Rate and the Utility Retained Rate.  That is, subtract the Utility Retained Rate from the Total Generation Related Rate to determine the CPA applicable to the utility. </w:t>
      </w:r>
    </w:p>
    <w:p>
      <w:pPr>
        <w:pStyle w:val="standard"/>
        <w:rPr/>
      </w:pPr>
      <w:r>
        <w:rPr/>
        <w:t xml:space="preserve">For power </w:t>
      </w:r>
      <w:r>
        <w:rPr>
          <w:i/>
        </w:rPr>
        <w:t>sold by the utility,</w:t>
      </w:r>
      <w:r>
        <w:rPr>
          <w:rStyle w:val="FootnoteCharacters"/>
          <w:rStyle w:val="FootnoteReference"/>
        </w:rPr>
        <w:footnoteReference w:id="7"/>
      </w:r>
      <w:r>
        <w:rPr/>
        <w:t xml:space="preserve"> DWR asserts that each utility must pay DWR an amount equal to the product of (i) the number of kilowatt-hours purchased by retail end users from the utility, multiplied by (ii) the Fixed DWR Set-Aside.</w:t>
      </w:r>
      <w:r>
        <w:rPr>
          <w:rStyle w:val="FootnoteCharacters"/>
          <w:rStyle w:val="FootnoteReference"/>
        </w:rPr>
        <w:footnoteReference w:id="8"/>
      </w:r>
      <w:r>
        <w:rPr/>
        <w:t xml:space="preserve">  DWR asserts that such payment is due upon the utility’s receipt of payment by each of its retail end-use customers.</w:t>
      </w:r>
    </w:p>
    <w:p>
      <w:pPr>
        <w:pStyle w:val="standard"/>
        <w:rPr/>
      </w:pPr>
      <w:r>
        <w:rPr/>
        <w:t xml:space="preserve">DWR also makes a number of points about the nature of the CPA.   DWR asserts that the CPA is a set, immutable rate, which should be expressed in terms of cents per kilowatt-hour.  DWR contends that any changes in the costs of any generation resource of any utility from the costs reflected in the January 5, 2001 rate should not affect the CPA. .  </w:t>
      </w:r>
    </w:p>
    <w:p>
      <w:pPr>
        <w:pStyle w:val="standard"/>
        <w:rPr/>
      </w:pPr>
      <w:r>
        <w:rPr/>
        <w:t xml:space="preserve">DWR’s letter asserts that the calculation of the CPA does not alter DWR’s right to recover any portion of its revenue requirement, which AB 1X does not require  to be fully recovered through the Fixed DWR Set-Aside.  Similarly, calculation of the CPA does not prevent the Commission from allowing utilities to recover their costs for that portion of the power for which they remain responsible.  Further, DWR believes that the calculation of the CPA does not </w:t>
      </w:r>
      <w:r>
        <w:rPr>
          <w:u w:val="single"/>
        </w:rPr>
        <w:t xml:space="preserve">per se </w:t>
      </w:r>
      <w:r>
        <w:rPr/>
        <w:t xml:space="preserve"> determine the division of the CPA as between DWR (Fixed DWR Set Aside) and any utility.  DWR requests that the Commission determine the CPA now, and the Fixed DWR Set Aside at a later date.</w:t>
      </w:r>
    </w:p>
    <w:p>
      <w:pPr>
        <w:pStyle w:val="standard"/>
        <w:rPr/>
      </w:pPr>
      <w:r>
        <w:rPr/>
        <w:t xml:space="preserve">Finally, DWR makes specific requests of the Commission. It requests that the Commission (i) determine, pursuant to Section 360.5, the CPA of each utility, and (ii) acknowledge that DWR may rely upon this determination for the purposes of Water Code Section 80130.  Lastly, DWR requests that upon DWR’s acceptance of this order in writing, that it constitute an agreement between DWR and the Commission having the full force and effect of a financing order, as provided by Water Code Section 80110.  </w:t>
      </w:r>
    </w:p>
    <w:p>
      <w:pPr>
        <w:pStyle w:val="Heading1"/>
        <w:tabs>
          <w:tab w:val="left" w:pos="360" w:leader="none"/>
          <w:tab w:val="left" w:pos="720" w:leader="none"/>
        </w:tabs>
        <w:rPr/>
      </w:pPr>
      <w:r>
        <w:rPr/>
        <w:t>Positions of Parties With Respect to Methodology for Calculating the CPA</w:t>
      </w:r>
    </w:p>
    <w:p>
      <w:pPr>
        <w:pStyle w:val="standard"/>
        <w:rPr/>
      </w:pPr>
      <w:r>
        <w:rPr/>
        <w:t>In its initial proposal, Edison proposes to calculate the CPA on a monthly basis by subtracting recorded generation-related costs from generation-related revenues.  Edison will send the amount by which revenues exceed costs to DWR only if no deficits exist from prior months.  If revenues are less than costs, Edison proposes to create and record this deficit in a CPA Balancing Account.</w:t>
      </w:r>
    </w:p>
    <w:p>
      <w:pPr>
        <w:pStyle w:val="standard"/>
        <w:rPr/>
      </w:pPr>
      <w:r>
        <w:rPr/>
        <w:t>Edison contends that DWR’s proposal to receive a portion of Edison’s generation revenues is inconsistent with Public Utilities Code Section 360.5 and should be rejected.  However, Edison believes that DWR’s proposed calculation of the CPA has merit if the Commission makes some adjustments.  In any case, Edison argues that a rate increase is needed to ensure that Edison, Qualifying Facilities (QFs) and DWR have sufficient funds to provide power.  Edison asserts that the Commission should immediately declare an end to the rate freeze and raise retail rates.  Edison’s March 21, 2001 filing, in response to the DWR letter, calculates that the CPA is negative, using DWR’s methodology (Appendix A). Edison calculates that a 60.84% increase in the total rate level is needed if DWR’s methodology is used (Appendix B).</w:t>
      </w:r>
    </w:p>
    <w:p>
      <w:pPr>
        <w:pStyle w:val="standard"/>
        <w:rPr/>
      </w:pPr>
      <w:r>
        <w:rPr/>
        <w:t xml:space="preserve">Edison also contends that AB 1X provides that Edison must be made whole for the generation it provides through existing contracts and retained generation.  Edison proposes that the Commission accomplish the goal of making both it and DWR whole for the costs they each incur in procuring power for Edison’s customers by adopting three separate, dedicated rate components with associated balancing accounts.  These three rate components would be Edison Retained Generation, Edison Contracts, and DWR Contracts.  </w:t>
      </w:r>
    </w:p>
    <w:p>
      <w:pPr>
        <w:pStyle w:val="standard"/>
        <w:rPr/>
      </w:pPr>
      <w:r>
        <w:rPr/>
        <w:t>An initial amount would be established for these components based on an estimate of costs for each component for the next 12 months.  The revenues collected from those components along with their associated costs would be tracked in a balancing account.  At regular intervals, based on the extent of the amounts over- or under-collected, rate components would be adjusted.  In addition, the annual forecasts would be reviewed and adjusted where necessary in the Annual Revenue Adjustment Proceeding (RAP).</w:t>
      </w:r>
    </w:p>
    <w:p>
      <w:pPr>
        <w:pStyle w:val="standard"/>
        <w:rPr/>
      </w:pPr>
      <w:r>
        <w:rPr/>
        <w:t xml:space="preserve">PG&amp;E proposes to calculate the CPA in a two step process.  First, PG&amp;E would subtract its costs and other adjustments from its gross generation revenues to determine  the generation-related component of its revenues.  Second, PG&amp;E would subtract its generation-related costs to determine the CPA.  PG&amp;E proposes to provide the CPA to DWR, if revenues exceed costs.  </w:t>
      </w:r>
    </w:p>
    <w:p>
      <w:pPr>
        <w:pStyle w:val="standard"/>
        <w:rPr/>
      </w:pPr>
      <w:r>
        <w:rPr/>
        <w:t xml:space="preserve">PG&amp;E believes that DWR reads more into AB 1X than the plain language of the statute allows, by claiming an unlawful entitlement to a portion of the revenues recoverable by PG&amp;E for utility service, which would result in an unconstitutional taking.  In addition, PG&amp;E asserts that DWR’s proposal would build into PG&amp;E’s current rates a continuing shortfall, leaving it without sufficient revenues from the generation component of rates to pay the generation-related costs specified by AB 1X.  This would cause PG&amp;E’s power suppliers to refuse to sell to it.  Like Edison, PG&amp;E proposes that the Commission declare an end to the rate freeze and increase rates. </w:t>
      </w:r>
    </w:p>
    <w:p>
      <w:pPr>
        <w:pStyle w:val="standard"/>
        <w:rPr/>
      </w:pPr>
      <w:r>
        <w:rPr/>
        <w:t>SDG&amp;E similarly proposes to subtract costs from generation-related revenue to calculate the CPA.  SDG&amp;E also proposes to carry over negative amounts to future months for future collection.</w:t>
      </w:r>
    </w:p>
    <w:p>
      <w:pPr>
        <w:pStyle w:val="standard"/>
        <w:rPr/>
      </w:pPr>
      <w:r>
        <w:rPr/>
        <w:t>SDG&amp;E believes that the Commission cannot implement DWR’s CPA proposal because DWR’s methodology is based on misunderstandings of fundamental ratemaking concepts (</w:t>
      </w:r>
      <w:r>
        <w:rPr>
          <w:i/>
        </w:rPr>
        <w:t>e.g.</w:t>
      </w:r>
      <w:r>
        <w:rPr/>
        <w:t>, confusing adopted rates and actual costs).  Further, SDG&amp;E asserts that DWR has misread the law and reached erroneous conclusions, such as its belief that the CPA can never be negative, that the CPA should be calculated as a rate instead of a dollar amount, and that the CPA cannot change.  SDG&amp;E asks the Commission to carefully review DWR’s proposal and to adopt a CPA calculation which is consistent with the law and ratemaking practices, is logical, and is capable of being implemented quickly.</w:t>
      </w:r>
    </w:p>
    <w:p>
      <w:pPr>
        <w:pStyle w:val="standard"/>
        <w:rPr/>
      </w:pPr>
      <w:r>
        <w:rPr/>
        <w:t>Various parties including Aglet, TURN and ORA disputed the numerous specifics of the utilities claims.  In sum, pleadings indicate that the utilities’ proposal must be closely scrutinized.</w:t>
      </w:r>
    </w:p>
    <w:p>
      <w:pPr>
        <w:pStyle w:val="Heading1"/>
        <w:tabs>
          <w:tab w:val="clear" w:pos="360"/>
          <w:tab w:val="left" w:pos="450" w:leader="none"/>
          <w:tab w:val="left" w:pos="720" w:leader="none"/>
        </w:tabs>
        <w:rPr/>
      </w:pPr>
      <w:r>
        <w:rPr/>
        <w:t>Discussion</w:t>
      </w:r>
    </w:p>
    <w:p>
      <w:pPr>
        <w:pStyle w:val="Heading2"/>
        <w:rPr/>
      </w:pPr>
      <w:r>
        <w:rPr/>
        <w:t>Statutory Principles</w:t>
      </w:r>
    </w:p>
    <w:p>
      <w:pPr>
        <w:pStyle w:val="sub1"/>
        <w:rPr/>
      </w:pPr>
      <w:r>
        <w:rPr/>
        <w:t xml:space="preserve">In theory, the statutory methodology for determining the CPA is — for the most part — straightforward.  The generation-related component of retail rates minus specific utility generation-related costs equals the CPA.  In practice, details such as subtracting a “cost” from a “rate” pose challenges.  In addition, it is important to keep in mind the entire mechanism adopted in AB 1X.  TURN’s and Aglet’s point that the statute must be read as a whole is well taken.  The utilities’ proposals, for example, inject certain views concerning the “intent” of statutory provisions that cannot be supported when the statute is read as a whole.  </w:t>
      </w:r>
    </w:p>
    <w:p>
      <w:pPr>
        <w:pStyle w:val="sub1"/>
        <w:rPr/>
      </w:pPr>
      <w:r>
        <w:rPr/>
        <w:t>Prior to addressing the determination of the CPA, we must address the utilities’ misconception that the fixed DWR Set-Aside portion of the CPA is the only source of revenue that may flow to DWR.</w:t>
      </w:r>
      <w:r>
        <w:rPr>
          <w:rStyle w:val="FootnoteCharacters"/>
        </w:rPr>
        <w:t xml:space="preserve"> </w:t>
      </w:r>
      <w:r>
        <w:rPr>
          <w:rStyle w:val="FootnoteCharacters"/>
          <w:rStyle w:val="FootnoteReference"/>
        </w:rPr>
        <w:footnoteReference w:id="9"/>
      </w:r>
      <w:r>
        <w:rPr/>
        <w:t xml:space="preserve">  Section 360.5 contains no such limitation; rather, it sets forth a formula for determining a rate element known as the CPA.  Nothing in the plain language of Section 360.5 says that the Fixed DWR Set-Aside portion of CPA is the only revenue stream that flows to DWR.</w:t>
      </w:r>
      <w:r>
        <w:rPr>
          <w:rStyle w:val="FootnoteCharacters"/>
          <w:rStyle w:val="FootnoteReference"/>
        </w:rPr>
        <w:footnoteReference w:id="10"/>
      </w:r>
      <w:r>
        <w:rPr/>
        <w:t xml:space="preserve">  On the contrary, as discussed below, DWR is entitled by law to an amount equal to the number of kWhs sold to end-use customers multiplied by the relevant generation rate.</w:t>
      </w:r>
    </w:p>
    <w:p>
      <w:pPr>
        <w:pStyle w:val="standard"/>
        <w:rPr/>
      </w:pPr>
      <w:r>
        <w:rPr/>
        <w:t>We must implement Section 360.5 in view of other changes imposed by AB 1X.  We note that DWR’s procurement of power improves the financial stability of SDG&amp;E, PG&amp;E and Edison.</w:t>
      </w:r>
      <w:r>
        <w:rPr>
          <w:rStyle w:val="FootnoteCharacters"/>
          <w:rStyle w:val="FootnoteReference"/>
        </w:rPr>
        <w:footnoteReference w:id="11"/>
      </w:r>
      <w:r>
        <w:rPr/>
        <w:t xml:space="preserve">  Without DWR’s actions, the utilities’ financial situations would have continued to deteriorate.  Instead, AB 1X has stabilized their financial condition, and transferred a large amount of their financial risk to DWR.  In determining the amount of revenues that DWR should collect, we are also guided by the following relevant statutes adopted by the legislature in AB 1X at the same time it adopted Section 360.5.</w:t>
      </w:r>
    </w:p>
    <w:p>
      <w:pPr>
        <w:pStyle w:val="standard"/>
        <w:rPr/>
      </w:pPr>
      <w:r>
        <w:rPr/>
        <w:t xml:space="preserve">Water Code Section 80002.5 states that “[i]t is the intent of the Legislature that power acquired under this division shall be sold to all retail end use customers served by electrical corporations, ….”  Water Code Section 80104 explains that “[u]pon the delivery of power to them, the retail end use customers shall be deemed to have purchased that power from the department.  </w:t>
      </w:r>
      <w:r>
        <w:rPr>
          <w:u w:val="single"/>
        </w:rPr>
        <w:t>Payment for any sale shall be a direct obligation of the retail end use customer to the department</w:t>
      </w:r>
      <w:r>
        <w:rPr/>
        <w:t>.”  (Emphasis added.)  Water Code Section 80106(a) provides a mechanism for DWR to collect payment by providing DWR discretion to contract with utilities to “</w:t>
      </w:r>
      <w:r>
        <w:rPr>
          <w:u w:val="single"/>
        </w:rPr>
        <w:t>provide billing, collection</w:t>
      </w:r>
      <w:r>
        <w:rPr/>
        <w:t xml:space="preserve">, and other related services, </w:t>
      </w:r>
      <w:r>
        <w:rPr>
          <w:u w:val="single"/>
        </w:rPr>
        <w:t>as agent of the department</w:t>
      </w:r>
      <w:r>
        <w:rPr/>
        <w:t>, ….”  (Emphasis added.)  Water Code Section 80110 makes clear that DWR “shall retain title to all power sold by it to retail end use customers.”  Finally, Water Code Section 80112 explicitly summarizes DWR’s interest by stating:</w:t>
      </w:r>
    </w:p>
    <w:p>
      <w:pPr>
        <w:pStyle w:val="quote"/>
        <w:rPr/>
      </w:pPr>
      <w:r>
        <w:rPr/>
        <w:t>“…</w:t>
      </w:r>
      <w:r>
        <w:rPr>
          <w:rFonts w:eastAsia="PALATINO;Book Antiqua"/>
        </w:rPr>
        <w:t xml:space="preserve"> </w:t>
      </w:r>
      <w:r>
        <w:rPr/>
        <w:t xml:space="preserve">all money paid directly or indirectly to or for the account of [DWR] with respect to any sale … of power acquired [by DWR] shall constitute property of [DWR] and shall be deposited in the [DWR Electric Power] fund … </w:t>
      </w:r>
      <w:r>
        <w:rPr>
          <w:u w:val="single"/>
        </w:rPr>
        <w:t>To the extent any moneys are received by an electrical corporation pursuant to Section 80106 in the process of collection, and pending their transfer to [DWR], they shall be segregated by the electrical corporation on the terms and conditions established by [DWR] and shall be held in trust for the benefit of [DWR].</w:t>
      </w:r>
      <w:r>
        <w:rPr/>
        <w:t>”  (Emphasis added.)</w:t>
      </w:r>
    </w:p>
    <w:p>
      <w:pPr>
        <w:pStyle w:val="standard"/>
        <w:rPr/>
      </w:pPr>
      <w:r>
        <w:rPr/>
        <w:t>Although Water Code Section 80112 is wholly self-executing, given the positions taken by the utilities in this proceeding, we shall order them to immediately comply with Water Code Section 80112.</w:t>
      </w:r>
      <w:r>
        <w:rPr>
          <w:rStyle w:val="FootnoteCharacters"/>
          <w:rStyle w:val="FootnoteReference"/>
        </w:rPr>
        <w:footnoteReference w:id="12"/>
      </w:r>
      <w:r>
        <w:rPr/>
        <w:t xml:space="preserve">  Specifically, SDG&amp;E, Edison and PG&amp;E, must immediately segregate, and hold in trust</w:t>
      </w:r>
      <w:r>
        <w:rPr>
          <w:rStyle w:val="FootnoteCharacters"/>
          <w:rStyle w:val="FootnoteReference"/>
        </w:rPr>
        <w:footnoteReference w:id="13"/>
      </w:r>
      <w:r>
        <w:rPr/>
        <w:t xml:space="preserve"> for the benefit of DWR all moneys they receive pursuant to Section 80106.  Section VI. E of this order will explain this process in detail.  </w:t>
      </w:r>
    </w:p>
    <w:p>
      <w:pPr>
        <w:pStyle w:val="Heading2"/>
        <w:rPr/>
      </w:pPr>
      <w:r>
        <w:rPr/>
        <w:t>Generation-Related Component of the Retail Rate</w:t>
      </w:r>
    </w:p>
    <w:p>
      <w:pPr>
        <w:pStyle w:val="sub1"/>
        <w:rPr/>
      </w:pPr>
      <w:r>
        <w:rPr/>
        <w:t xml:space="preserve">We are cognizant that each utility’s tariffs contain many different rate schedules.  This results in different generation-related rate components for different schedules.  In this decision, we do not attempt to calculate the generation-related rate component for each tariff schedule of each utility.  Instead, for each utility we will adopt a company-wide average generation-related rate component (except that SDG&amp;E will have separate numbers for capped and uncapped customers).  </w:t>
      </w:r>
    </w:p>
    <w:p>
      <w:pPr>
        <w:pStyle w:val="sub1"/>
        <w:rPr/>
      </w:pPr>
      <w:r>
        <w:rPr/>
        <w:t>The generation-related rate component of retail sales is derived from the rates in effect as of January 5, 2001.  The 1</w:t>
        <w:noBreakHyphen/>
        <w:t xml:space="preserve">cent/kWh surcharge adopted by the Commission in January was in place on that date and must be included in the calculation of the generation-related component of the retail rates.  </w:t>
      </w:r>
    </w:p>
    <w:p>
      <w:pPr>
        <w:pStyle w:val="sub1"/>
        <w:rPr/>
      </w:pPr>
      <w:r>
        <w:rPr/>
        <w:t xml:space="preserve">For Edison and PG&amp;E (whose rates are still frozen), the generation-related component of retail rates is calculated as follows:  </w:t>
      </w:r>
    </w:p>
    <w:p>
      <w:pPr>
        <w:pStyle w:val="sub1"/>
        <w:rPr/>
      </w:pPr>
      <w:r>
        <w:rPr/>
        <w:t>Total bundled electric rate (which includes one cent per/kWh surcharge and reflects the legislated 10% rate reduction for those customers to whom it is applicable);</w:t>
      </w:r>
    </w:p>
    <w:p>
      <w:pPr>
        <w:pStyle w:val="sub1"/>
        <w:rPr/>
      </w:pPr>
      <w:r>
        <w:rPr/>
        <w:t>Less non-generation-related rates or charges:</w:t>
      </w:r>
    </w:p>
    <w:p>
      <w:pPr>
        <w:pStyle w:val="standard"/>
        <w:rPr/>
      </w:pPr>
      <w:r>
        <w:rPr/>
        <w:tab/>
        <w:tab/>
        <w:t>Transmission;</w:t>
      </w:r>
      <w:r>
        <w:rPr>
          <w:rStyle w:val="FootnoteCharacters"/>
          <w:rStyle w:val="FootnoteReference"/>
        </w:rPr>
        <w:footnoteReference w:id="14"/>
      </w:r>
    </w:p>
    <w:p>
      <w:pPr>
        <w:pStyle w:val="standard"/>
        <w:rPr/>
      </w:pPr>
      <w:r>
        <w:rPr/>
        <w:tab/>
        <w:tab/>
        <w:t>Distribution;</w:t>
      </w:r>
    </w:p>
    <w:p>
      <w:pPr>
        <w:pStyle w:val="standard"/>
        <w:rPr/>
      </w:pPr>
      <w:r>
        <w:rPr/>
        <w:tab/>
        <w:tab/>
        <w:t>Public Purpose Programs;</w:t>
      </w:r>
    </w:p>
    <w:p>
      <w:pPr>
        <w:pStyle w:val="standard"/>
        <w:rPr/>
      </w:pPr>
      <w:r>
        <w:rPr/>
        <w:tab/>
        <w:tab/>
        <w:t>Nuclear Decommissioning;</w:t>
      </w:r>
    </w:p>
    <w:p>
      <w:pPr>
        <w:pStyle w:val="standard"/>
        <w:rPr/>
      </w:pPr>
      <w:r>
        <w:rPr/>
        <w:tab/>
        <w:tab/>
        <w:t>Fixed Transition Amount.</w:t>
      </w:r>
      <w:r>
        <w:rPr>
          <w:rStyle w:val="FootnoteCharacters"/>
          <w:rStyle w:val="FootnoteReference"/>
        </w:rPr>
        <w:footnoteReference w:id="15"/>
      </w:r>
      <w:r>
        <w:rPr/>
        <w:t xml:space="preserve"> </w:t>
      </w:r>
    </w:p>
    <w:p>
      <w:pPr>
        <w:pStyle w:val="standard"/>
        <w:ind w:hanging="0" w:end="0"/>
        <w:rPr/>
      </w:pPr>
      <w:r>
        <w:rPr/>
        <w:t>The remainder is the generation-related rate component of retail rates.</w:t>
      </w:r>
    </w:p>
    <w:p>
      <w:pPr>
        <w:pStyle w:val="standard"/>
        <w:rPr/>
      </w:pPr>
      <w:r>
        <w:rPr/>
        <w:t>SDG&amp;E’s rate freeze under AB 1890 has ended and it has no 1 cent/kWh surcharge.  SDG&amp;E has an “energy” rate ceiling of 6.5 cents/kWh for residential, small commercial, and street lighting customers, pursuant to AB 265.  For these “capped” customers, the generation-related rate component is this 6.5 cent/kWh ceiling.  The amount that “uncapped” customers pay for generation varies depending on wholesale market prices.  Thus, for SDG&amp;E’s uncapped customers the generation-related rate component is necessarily based on an estimate of wholesale prices.</w:t>
      </w:r>
    </w:p>
    <w:p>
      <w:pPr>
        <w:pStyle w:val="standard"/>
        <w:rPr/>
      </w:pPr>
      <w:r>
        <w:rPr/>
        <w:t>We have relied on the utilities’ workpapers (see attachments)</w:t>
      </w:r>
      <w:r>
        <w:rPr>
          <w:rStyle w:val="FootnoteCharacters"/>
        </w:rPr>
        <w:t xml:space="preserve"> </w:t>
      </w:r>
      <w:r>
        <w:rPr>
          <w:rStyle w:val="FootnoteCharacters"/>
          <w:rStyle w:val="FootnoteReference"/>
        </w:rPr>
        <w:footnoteReference w:id="16"/>
      </w:r>
      <w:r>
        <w:rPr/>
        <w:t xml:space="preserve"> to determine each utility’s company-wide average generation-related rate component.  Based on our review of these workpapers we adopt the following company-wide average generation-related rate components:</w:t>
      </w:r>
    </w:p>
    <w:p>
      <w:pPr>
        <w:pStyle w:val="Normal"/>
        <w:rPr>
          <w:sz w:val="24"/>
        </w:rPr>
      </w:pPr>
      <w:r>
        <w:rPr>
          <w:sz w:val="24"/>
        </w:rPr>
      </w:r>
    </w:p>
    <w:p>
      <w:pPr>
        <w:pStyle w:val="standard"/>
        <w:rPr/>
      </w:pPr>
      <w:r>
        <w:rPr/>
        <w:tab/>
        <w:t xml:space="preserve"> 7.277 cents/kWh for Edison;</w:t>
      </w:r>
    </w:p>
    <w:p>
      <w:pPr>
        <w:pStyle w:val="standard"/>
        <w:rPr/>
      </w:pPr>
      <w:r>
        <w:rPr/>
        <w:tab/>
        <w:t xml:space="preserve"> 6.437 cents/kWh for PG&amp;E;</w:t>
      </w:r>
    </w:p>
    <w:p>
      <w:pPr>
        <w:pStyle w:val="standard"/>
        <w:ind w:start="720" w:end="0"/>
        <w:rPr/>
      </w:pPr>
      <w:r>
        <w:rPr>
          <w:rFonts w:eastAsia="PALATINO;Book Antiqua"/>
        </w:rPr>
        <w:t xml:space="preserve"> </w:t>
      </w:r>
      <w:r>
        <w:rPr/>
        <w:t>6.5     cents/kWh for SDG&amp;E capped customers;</w:t>
      </w:r>
    </w:p>
    <w:p>
      <w:pPr>
        <w:pStyle w:val="standard"/>
        <w:ind w:start="720" w:end="0"/>
        <w:rPr/>
      </w:pPr>
      <w:r>
        <w:rPr/>
        <w:t>12.539 cents/kWh for SDG&amp;E uncapped customers.</w:t>
      </w:r>
    </w:p>
    <w:p>
      <w:pPr>
        <w:pStyle w:val="Heading2"/>
        <w:rPr/>
      </w:pPr>
      <w:r>
        <w:rPr/>
        <w:t>CPA is a Set Rate Component</w:t>
      </w:r>
    </w:p>
    <w:p>
      <w:pPr>
        <w:pStyle w:val="sub1"/>
        <w:rPr/>
      </w:pPr>
      <w:r>
        <w:rPr/>
        <w:t xml:space="preserve">We conclude that the CPA is a set rate component, calculated using utility rate components in effect on January 5, 2001, as opposed to a periodically changing revenue amount as advocated by the utilities.  </w:t>
      </w:r>
    </w:p>
    <w:p>
      <w:pPr>
        <w:pStyle w:val="sub1"/>
        <w:rPr/>
      </w:pPr>
      <w:r>
        <w:rPr/>
        <w:t>Our interpretation that CPA is a “rate” is consistent with language in Section 360.5 which states:</w:t>
      </w:r>
    </w:p>
    <w:p>
      <w:pPr>
        <w:pStyle w:val="Quote1"/>
        <w:rPr/>
      </w:pPr>
      <w:r>
        <w:rPr>
          <w:rStyle w:val="Strong"/>
        </w:rPr>
        <w:t>“</w:t>
      </w:r>
      <w:r>
        <w:rPr/>
        <w:t xml:space="preserve">The commission shall determine that portion of each existing electrical corporation's </w:t>
      </w:r>
      <w:r>
        <w:rPr>
          <w:u w:val="single"/>
        </w:rPr>
        <w:t>retail rate</w:t>
      </w:r>
      <w:r>
        <w:rPr/>
        <w:t xml:space="preserve"> effective on January </w:t>
      </w:r>
      <w:r>
        <w:rPr>
          <w:rStyle w:val="Strong"/>
          <w:b w:val="false"/>
        </w:rPr>
        <w:t>5</w:t>
      </w:r>
      <w:r>
        <w:rPr/>
        <w:t xml:space="preserve">, 2001, that is equal to the difference between the generation related component of the retail rate and the sum of the costs of the utility's own generation, qualifying facility contracts, existing bilateral contracts, and ancillary services. That portion of the </w:t>
      </w:r>
      <w:r>
        <w:rPr>
          <w:u w:val="single"/>
        </w:rPr>
        <w:t>retail rate</w:t>
      </w:r>
      <w:r>
        <w:rPr/>
        <w:t xml:space="preserve"> shall be known as the California Procurement Adjustment. ….”  (Emphasis added.)</w:t>
      </w:r>
    </w:p>
    <w:p>
      <w:pPr>
        <w:pStyle w:val="standard"/>
        <w:ind w:hanging="0" w:end="0"/>
        <w:rPr/>
      </w:pPr>
      <w:r>
        <w:rPr/>
        <w:t>Our interpretation that CPA is “set” and a “rate” is also consistent with Water Code Section 80130 which determines the amount of indebtedness that DWR may incur.</w:t>
      </w:r>
    </w:p>
    <w:p>
      <w:pPr>
        <w:pStyle w:val="Quote1"/>
        <w:rPr/>
      </w:pPr>
      <w:r>
        <w:rPr>
          <w:rStyle w:val="Strong"/>
          <w:b w:val="false"/>
        </w:rPr>
        <w:t>“</w:t>
      </w:r>
      <w:r>
        <w:rPr/>
        <w:t>…</w:t>
      </w:r>
      <w:r>
        <w:rPr>
          <w:rFonts w:eastAsia="PALATINO;Book Antiqua"/>
        </w:rPr>
        <w:t xml:space="preserve">  </w:t>
      </w:r>
      <w:r>
        <w:rPr/>
        <w:t xml:space="preserve">In no event shall [DWR] authorize the issuance of bonds … in an aggregate amount greater than the amount calculated by </w:t>
      </w:r>
      <w:r>
        <w:rPr>
          <w:u w:val="single"/>
        </w:rPr>
        <w:t>multiplying by a factor of four the annual revenues generated by the California Procurement Adjustment</w:t>
      </w:r>
      <w:r>
        <w:rPr/>
        <w:t xml:space="preserve"> …”  (Emphasis added.)</w:t>
      </w:r>
    </w:p>
    <w:p>
      <w:pPr>
        <w:pStyle w:val="standard"/>
        <w:ind w:hanging="0" w:end="0"/>
        <w:rPr/>
      </w:pPr>
      <w:r>
        <w:rPr/>
        <w:t>The issuance of bonds is dependent on the CPA.  If CPA fluctuated monthly, little certainty would exist concerning the amount of bonds that DWR could issue.</w:t>
      </w:r>
      <w:r>
        <w:rPr>
          <w:rStyle w:val="FootnoteCharacters"/>
          <w:rStyle w:val="FootnoteReference"/>
        </w:rPr>
        <w:footnoteReference w:id="17"/>
      </w:r>
      <w:r>
        <w:rPr/>
        <w:t xml:space="preserve">  An interpretation of Section 360.5 that concludes that the CPA is a set rate is more consistent with Water Code Section 80130.  Thus, we reject the utilities’ proposals that CPA is an amount that fluctuates monthly.  Those proposals focus more on the role of the CPA as a factor in determining the fixed DWR Set-Aside.</w:t>
      </w:r>
    </w:p>
    <w:p>
      <w:pPr>
        <w:pStyle w:val="standard"/>
        <w:rPr/>
      </w:pPr>
      <w:r>
        <w:rPr/>
        <w:t>The use of the verb “generated“ in Water Code Section 80130 also supports our interpretation that CPA is a rate.  Amounts do not “generate” revenues, whereas a “rate” would generate revenues.</w:t>
      </w:r>
    </w:p>
    <w:p>
      <w:pPr>
        <w:pStyle w:val="Heading2"/>
        <w:rPr/>
      </w:pPr>
      <w:r>
        <w:rPr/>
        <w:t>Calculation of the CPA</w:t>
      </w:r>
    </w:p>
    <w:p>
      <w:pPr>
        <w:pStyle w:val="sub1"/>
        <w:rPr/>
      </w:pPr>
      <w:r>
        <w:rPr/>
        <w:t>Under AB 1X, the CPA serves two purposes.  It is used as a step in calculating Fixed DWR Set-Aside.  In addition, CPA-generated revenues are used to calculate the maximum amount of bonds that DWR may issue.  We are not calculating the Fixed DWR Set-Aside at this time.  Thus, the primary purpose for which we are calculating the CPA today is to enable DWR to proceed with the process of issuing bonds in a timely fashion.</w:t>
      </w:r>
    </w:p>
    <w:p>
      <w:pPr>
        <w:pStyle w:val="sub1"/>
        <w:rPr/>
      </w:pPr>
      <w:r>
        <w:rPr/>
        <w:t>Each of the utilities proposes to calculate the CPA using essentially the following model:</w:t>
      </w:r>
    </w:p>
    <w:p>
      <w:pPr>
        <w:pStyle w:val="Quote1"/>
        <w:ind w:hanging="360" w:start="1440" w:end="1260"/>
        <w:rPr/>
      </w:pPr>
      <w:r>
        <w:rPr/>
        <w:t>1.  The generation-related component of retail rates is multiplied by the company’s total annual kWh sales to produce total generation-related revenues.</w:t>
      </w:r>
    </w:p>
    <w:p>
      <w:pPr>
        <w:pStyle w:val="Quote1"/>
        <w:ind w:hanging="360" w:start="1440" w:end="1260"/>
        <w:rPr/>
      </w:pPr>
      <w:r>
        <w:rPr/>
        <w:t>2.  The four statutorily authorized costs are then subtracted from the revenues calculated above.</w:t>
      </w:r>
    </w:p>
    <w:p>
      <w:pPr>
        <w:pStyle w:val="sub1"/>
        <w:rPr/>
      </w:pPr>
      <w:r>
        <w:rPr/>
        <w:t>As explained elsewhere, the CPA is a set rate.  However, because the statute requires costs to be deducted from rates, we agree with the utilities that it is appropriate to multiply the generation-related rate-component by total kWh sales</w:t>
      </w:r>
      <w:r>
        <w:rPr>
          <w:rStyle w:val="FootnoteCharacters"/>
          <w:rStyle w:val="FootnoteReference"/>
        </w:rPr>
        <w:footnoteReference w:id="18"/>
      </w:r>
      <w:r>
        <w:rPr/>
        <w:t xml:space="preserve">  to arrive at generation-related revenues.  It is then possible to deduct generation-related costs from these revenues.  The result of this calculation, however, is not the CPA (which is a rate), but rather it is the revenue produced by the CPA over a given time period (namely the time period over which the kWhs were delivered to customers).  These CPA-generated revenues can then be divided by the company’s total kWh sales in the same time period to calculate the CPA rate.</w:t>
      </w:r>
    </w:p>
    <w:p>
      <w:pPr>
        <w:pStyle w:val="sub1"/>
        <w:rPr/>
      </w:pPr>
      <w:r>
        <w:rPr/>
        <w:t>After calculating the revenues produced by the generation-related rate component, therefore, we must next determine the sum of the costs of the utility's own generation, qualifying facility contracts, existing bilateral contracts, and ancillary services in effect as of January 5, 2001.  Section 360.5 expressly refers to those identifiable costs, and no others.  Thus, we conclude that the only costs to be utilized in calculating the CPA are those specifically enumerated in Section 360.5.</w:t>
      </w:r>
    </w:p>
    <w:p>
      <w:pPr>
        <w:pStyle w:val="sub1"/>
        <w:rPr/>
      </w:pPr>
      <w:r>
        <w:rPr/>
        <w:t>At the workshops, the utilities presented estimates of generation-related costs and of kWh sales, which they used to develop CPA revenues under several different scenarios.  Their workpapers and proposals show a number of adjustments to the total generation-related revenues, as well as a number of categories of costs they believe fall within the four statutorily authorized categories.</w:t>
      </w:r>
      <w:r>
        <w:rPr>
          <w:rStyle w:val="FootnoteCharacters"/>
          <w:rStyle w:val="FootnoteReference"/>
        </w:rPr>
        <w:footnoteReference w:id="19"/>
      </w:r>
      <w:r>
        <w:rPr/>
        <w:t xml:space="preserve">  We do not agree with the utilities that all of these adjustments and costs are appropriate.  Section 360.5 clearly refers to those specific identifiable costs.  Thus, we shall exclude from the utilities’ submission those costs not specifically provided for in Section 360.5.</w:t>
      </w:r>
    </w:p>
    <w:p>
      <w:pPr>
        <w:pStyle w:val="sub1"/>
        <w:rPr/>
      </w:pPr>
      <w:r>
        <w:rPr/>
        <w:t>For example, we agree with Aglet that franchise fees attach to all retail revenues, not generation costs, and that, uncollectibles are not costs at all, but instead are revenue requirement allowances related to nonpayment of customer bills.  Aglet correctly contends that these items are not included in the four categories in Section 360.5.  Aglet also correctly argues that while other items such as direct access credits, restructuring implementation costs, employee</w:t>
        <w:noBreakHyphen/>
        <w:t>related transition costs, losses on sale and QF shareholder incentives conceptually are generation</w:t>
        <w:noBreakHyphen/>
        <w:t>related costs, they  are not encompassed by any of the four categories in Section 360.5.  Indeed, since direct access customers are sold electricity by neither the utility nor DWR, direct access revenues and credits both should be excluded from these calculations.</w:t>
      </w:r>
      <w:r>
        <w:rPr>
          <w:rStyle w:val="FootnoteCharacters"/>
          <w:rStyle w:val="FootnoteReference"/>
        </w:rPr>
        <w:footnoteReference w:id="20"/>
      </w:r>
      <w:r>
        <w:rPr/>
        <w:t xml:space="preserve">  We also agree with Aglet that rate reduction bond revenues are not included in any of the four items in Section 360.5.  Nuclear incentive amounts--for example, Diablo Canyon ICIP payments--in excess of actual costs are not strictly generation costs but are settled revenue requirement amounts, however, they have not been excluded because we lack the data to do so.  Customer Service and Informational expenses and administrative and general (A&amp;G) costs are not generation costs and do not fall within the scope of the four items in Section 360.5.</w:t>
      </w:r>
    </w:p>
    <w:p>
      <w:pPr>
        <w:pStyle w:val="sub1"/>
        <w:rPr/>
      </w:pPr>
      <w:r>
        <w:rPr/>
        <w:t>In order to calculate the CPA we will look to the scenarios the utilities provided at the workshops.  For Edison and PG&amp;E we have used their scenarios which reflect QFs priced at $80/MWh.  This figure reflects ongoing efforts to restructure QF pricing.  SDG&amp;E provided only one scenario in which it forecasted QF payments in 2001 according to actual contract terms.  We have corrected the selected scenarios to eliminate the adjustments and costs we have found inappropriate (as discussed above).  Using these corrected spreadsheets, we have calculated the annual revenues generated by the CPA.  As shown in Table 1, the annual revenues generated by CPA are:  for PG&amp;E  $1,619,592,000, for Edison $801,870,000,</w:t>
      </w:r>
      <w:r>
        <w:rPr>
          <w:b/>
        </w:rPr>
        <w:t xml:space="preserve"> </w:t>
      </w:r>
      <w:r>
        <w:rPr/>
        <w:t>for SDG&amp;E capped $293, 596, 000, and for SDG&amp;E uncapped, $ 398, 744, 000.  The CPA rate itself is then calculated by dividing the annual CPA revenues by the company’s total annual kWh sales for both utility and DWR supplied energy, excluding Direct Access.  The figures produce the following company-wide average CPA rates.  For PG&amp;E, 2.180 cents per kWh, for Edison, 1.049 cents per kWh, for SDG&amp;E capped, 2.630 per kWh.  For SDG&amp;E uncapped, 8.658 cents per kWh.  These calculations will enable DWR to determine the maximum amount of bonds it can issue under Water Code Section 80130.</w:t>
      </w:r>
    </w:p>
    <w:p>
      <w:pPr>
        <w:pStyle w:val="sub1"/>
        <w:rPr/>
      </w:pPr>
      <w:r>
        <w:rPr/>
        <w:t>In using these selected scenarios to calculate the CPA, we are not accepting the utilities’ cost figures as a basis for calculating future rates or revenue requirements for the utilities.  These cost figures have not been subject to the kind of analysis and scrutiny by the Commission and the parties that would be necessary before we could accept them for such purposes.  We accept them here solely for purposes of calculating the CPA, which we do today primarily in order to permit DWR to determine the maximum amount of bonds it may issue.</w:t>
      </w:r>
    </w:p>
    <w:p>
      <w:pPr>
        <w:pStyle w:val="Heading2"/>
        <w:rPr/>
      </w:pPr>
      <w:r>
        <w:rPr/>
        <w:t>Segregation of DWR Revenues</w:t>
      </w:r>
    </w:p>
    <w:p>
      <w:pPr>
        <w:pStyle w:val="sub1"/>
        <w:rPr/>
      </w:pPr>
      <w:r>
        <w:rPr/>
        <w:t>Pursuant to Water Code Section 80112:</w:t>
      </w:r>
    </w:p>
    <w:p>
      <w:pPr>
        <w:pStyle w:val="Quote1"/>
        <w:rPr/>
      </w:pPr>
      <w:r>
        <w:rPr/>
        <w:t>“…</w:t>
      </w:r>
      <w:r>
        <w:rPr>
          <w:rFonts w:eastAsia="PALATINO;Book Antiqua"/>
        </w:rPr>
        <w:t xml:space="preserve"> </w:t>
      </w:r>
      <w:r>
        <w:rPr/>
        <w:t>all money paid directly or indirectly to or for the account of [DWR] with respect to any sale … of power acquired [by DWR] shall constitute property of [DWR] and shall be deposited in the [DWR Electric Power] fund … To the extent any moneys are received by an electrical corporation pursuant to Section 80106 in the process of collection, and pending their transfer to [DWR], they shall be segregated by the electrical corporation on the terms and conditions established by [DWR] and shall be held in trust for the benefit of [DWR].”  (Emphasis added.)</w:t>
      </w:r>
    </w:p>
    <w:p>
      <w:pPr>
        <w:pStyle w:val="sub1"/>
        <w:rPr/>
      </w:pPr>
      <w:r>
        <w:rPr/>
        <w:t>We have previously ordered the utilities to take these steps with regard to the monies they collect pursuant to Water Code Section 200.  The utilities have apparently not done so.  According to the  utilities, they are uncertain about how to do the necessary calculations.  No matter what the stated reason, utilities are holding money that properly belongs to DWR.  Elsewhere in this order, we give PG&amp;E and Edison specific directions on how to comply with our prior order.  We  put them on notice that we will impose penalties if they do not comply promptly.</w:t>
      </w:r>
    </w:p>
    <w:p>
      <w:pPr>
        <w:pStyle w:val="sub1"/>
        <w:rPr/>
      </w:pPr>
      <w:r>
        <w:rPr/>
        <w:t xml:space="preserve">This leaves us with the issue of how the utilities shall segregate and transfer to DWR the revenues identified in today’s order.   DWR is purchasing electricity and selling it to retail end-use customers, and it is unreasonable to allow utilities to retain the revenue generated by those transactions — transactions to which they are not a party — even though they are in financial distress.  We will shortly outline a methodology which the utilities will be able to use after filing the appropriate tariffs and making any necessary adjustments to their billing systems.  However, we will not allow the utilities to retain DWR’s revenues while these details are worked out.  Accordingly, this order specifies a method for segregating and transferring revenues to DWR to be used beginning today, until those details are worked out.   </w:t>
      </w:r>
    </w:p>
    <w:p>
      <w:pPr>
        <w:pStyle w:val="sub1"/>
        <w:rPr/>
      </w:pPr>
      <w:r>
        <w:rPr/>
        <w:t>DWR reports to each utility on a daily basis the number of kilowatt-hours procured for that utility’s end use customers on a given day.  Under today’s order, DWR is entitled to receive the company-wide average generation-related rate component for each kilowatt-hour that DWR supplies to the utility’s retail end-use customers.</w:t>
      </w:r>
      <w:r>
        <w:rPr>
          <w:rStyle w:val="FootnoteCharacters"/>
          <w:rStyle w:val="FootnoteReference"/>
        </w:rPr>
        <w:footnoteReference w:id="21"/>
      </w:r>
      <w:r>
        <w:rPr/>
        <w:t xml:space="preserve">  On average, the utility should receive revenues for the energy supplied by DWR within 45 days after the energy is delivered to retail end use customers.</w:t>
      </w:r>
      <w:r>
        <w:rPr>
          <w:rStyle w:val="FootnoteCharacters"/>
          <w:rStyle w:val="FootnoteReference"/>
        </w:rPr>
        <w:footnoteReference w:id="22"/>
      </w:r>
      <w:r>
        <w:rPr/>
        <w:t xml:space="preserve">  Accordingly, under our immediate methodology, we order the utilities to segregate and hold in trust for DWR, no later than 45 days after DWR supplies power to their retail end-use customers, an amount equal to the product of (i) the number of kilowatt-hours that DWR provided 45-days earlier; and (ii) the company-wide average generation-related rate.  Utilities shall segregate these funds according to the method described below.</w:t>
      </w:r>
    </w:p>
    <w:p>
      <w:pPr>
        <w:pStyle w:val="sub1"/>
        <w:rPr/>
      </w:pPr>
      <w:r>
        <w:rPr/>
        <w:t xml:space="preserve">A more precise method for remitting funds to DWR should be arrived at as soon as practicable.  This methodology shall provide that each customer’s bill will specifically identify the generation-related rate for DWR.  In order to do this, tariff schedule-specific generation-related rates will need to be calculated.  In addition, it will be necessary to determine the number of DWR supplied kilowatt-hours on each customer’s bill to which this customer specific generation-related rate will be applied.  The number of DWR-supplied kilowatt-hours will be calculated using the following method.  </w:t>
      </w:r>
    </w:p>
    <w:p>
      <w:pPr>
        <w:pStyle w:val="sub1"/>
        <w:rPr/>
      </w:pPr>
      <w:r>
        <w:rPr/>
        <w:t>First, each utility will calculate the percentage of DWR power supplied to its customers for each day, by dividing (1) the amount of power supplied by DWR and distributed by the utility by (2) the sum of (a) the amount of power generated or purchased by the utility, including any real time energy from the Independent System Operator, and (b) the amount of power included in (1) above.</w:t>
      </w:r>
      <w:r>
        <w:rPr>
          <w:rStyle w:val="FootnoteCharacters"/>
          <w:rStyle w:val="FootnoteReference"/>
        </w:rPr>
        <w:footnoteReference w:id="23"/>
      </w:r>
    </w:p>
    <w:p>
      <w:pPr>
        <w:pStyle w:val="sub1"/>
        <w:rPr/>
      </w:pPr>
      <w:r>
        <w:rPr/>
        <w:t>Because each customer’s billing cycle includes more than one day, the utility will calculate the percentage of DWR power over a billing cycle by averaging the percentage of DWR power supplied for each day in the customer’s billing cycle (the DWR billing-cycle percentage).  Finally, the utilities will calculate the amounts they must collect on behalf of DWR as required by today’s order by multiplying the total kilowatt-hours on a customer’s bill by the DWR billing-cycle percentage and then multiplying that product by the schedule specific generation-related rate.  This will show the amount on each customer’s bill that is required to be collected by the utility on behalf of DWR, and once collected immediately segregated and held in trust for the benefit of DWR until it is transmitted to DWR, all as more specifically described below.</w:t>
      </w:r>
    </w:p>
    <w:p>
      <w:pPr>
        <w:pStyle w:val="sub1"/>
        <w:rPr/>
      </w:pPr>
      <w:r>
        <w:rPr/>
        <w:t>Within 15 days of today’s order, each utility shall file the tariff changes necessary to implement this more precise methodology, and shall implement billing under this more precise methodology within 30 days of the approval, by the Commission or its staff, of these tariff changes.</w:t>
      </w:r>
    </w:p>
    <w:p>
      <w:pPr>
        <w:pStyle w:val="sub1"/>
        <w:rPr/>
      </w:pPr>
      <w:r>
        <w:rPr/>
        <w:t xml:space="preserve">At various places in this order, we have referred to the segregation of funds that are to be paid to DWR.  Such funds are to be collected by the utility as agent for DWR, and segregated and held in trust for DWR in a separate bank account (denominated, “[utility name] in trust for the Department of Water resources”) for the benefit of DWR until such time as those funds shall be paid over to DWR in accordance with this order.  Unless doing so would contravene an existing agreement or require the use of a bank outside California, such accounts shall be opened with a bank that has not extended credit or made credit available to the utility.  The utility shall not have any right in and to such revenues and such revenues shall not be used by the utility as its own or commingled with its own monies.  At all times such revenue shall constitute property of DWR only, as provided by statute.  </w:t>
      </w:r>
    </w:p>
    <w:p>
      <w:pPr>
        <w:pStyle w:val="sub1"/>
        <w:rPr/>
      </w:pPr>
      <w:r>
        <w:rPr/>
        <w:t xml:space="preserve">We are concerned that our past orders with regard to the segregation of funds have not been carried out, and direct the utilities to provide, by letter to the Commission’s Executive Director, and to the Director of the Department of Water Resources, with the numbers of these accounts, the names of the banks where the accounts are located, the amount of credit that has been extended or made available to the utility by that bank, and the amounts deposited therein.  Such letter shall be delivered by fax no later than 4:00 p.m. on March 28, 2001.  </w:t>
      </w:r>
    </w:p>
    <w:p>
      <w:pPr>
        <w:pStyle w:val="sub1"/>
        <w:rPr/>
      </w:pPr>
      <w:r>
        <w:rPr/>
        <w:t xml:space="preserve">Moreover, utilities should transfer all funds held in trust accounts for DWR, including all interest paid thereon, each business day, before 10:00 am, Pacific Time.  Each minute of delay in complying with this order shall constitute a separate violation of this order.  We find that the above payment mechanism is essential and necessary to accomplish the directives of Water Code Section 80112. </w:t>
      </w:r>
    </w:p>
    <w:p>
      <w:pPr>
        <w:pStyle w:val="Heading1"/>
        <w:tabs>
          <w:tab w:val="clear" w:pos="360"/>
          <w:tab w:val="left" w:pos="540" w:leader="none"/>
          <w:tab w:val="left" w:pos="720" w:leader="none"/>
        </w:tabs>
        <w:ind w:hanging="450" w:start="450" w:end="3600"/>
        <w:rPr/>
      </w:pPr>
      <w:r>
        <w:rPr/>
        <w:t>D.01-01-061</w:t>
      </w:r>
    </w:p>
    <w:p>
      <w:pPr>
        <w:pStyle w:val="standard"/>
        <w:rPr/>
      </w:pPr>
      <w:r>
        <w:rPr/>
        <w:t>In D.01-01-061, we ordered Edison and PG&amp;E to collect, in trust for the benefit of DWR, sums owed by retail end-use customers.  Further, we directed Edison and PG&amp;E to make monthly payments to DWR.  To date, it appears that Edison and PG&amp;E have not made any payment to DWR pursuant to ordering Paragraph 7 of D.01-01-061.  We will order Edison and PG&amp;E to pay DWR by 9am on the day following the effective date of this decision the sums due under ordering Paragraph 7 of D.01-01-061.  In the event Edison and PG&amp;E believe they are unable to calculate the amount owed to DWR, they shall calculate the amount owed to DWR as follows.  Each utility shall pay DWR for the number of kWhs that DWR asserts it provided to that utility’s retail end-use customers pursuant to SB 1X 7.  Edison shall pay a rate of 6.277 cents for each such kWh.  PG&amp;E shall pay a rate of 5.437 cents for each such kWh.</w:t>
      </w:r>
      <w:r>
        <w:rPr>
          <w:rStyle w:val="FootnoteCharacters"/>
          <w:rStyle w:val="FootnoteReference"/>
        </w:rPr>
        <w:footnoteReference w:id="24"/>
      </w:r>
      <w:r>
        <w:rPr/>
        <w:t xml:space="preserve">  If the payment is not made when required, the Commission will assess penalties against the utility for each day that payment is late, pursuant to Chapter 11 of the Public Utilities Act.  The officers and employees of the utility are also subject to sanctions under Chapter 11. </w:t>
      </w:r>
    </w:p>
    <w:p>
      <w:pPr>
        <w:pStyle w:val="Heading1"/>
        <w:tabs>
          <w:tab w:val="left" w:pos="360" w:leader="none"/>
          <w:tab w:val="left" w:pos="720" w:leader="none"/>
        </w:tabs>
        <w:spacing w:lineRule="auto" w:line="360" w:before="120" w:after="0"/>
        <w:rPr/>
      </w:pPr>
      <w:r>
        <w:rPr/>
        <w:t>Financing Order</w:t>
      </w:r>
    </w:p>
    <w:p>
      <w:pPr>
        <w:pStyle w:val="standard"/>
        <w:rPr/>
      </w:pPr>
      <w:r>
        <w:rPr/>
        <w:t>DWR requests that we determine the CPA for each utility as part of an order, and that we acknowledge that the Department may rely upon this determination for purposes of Section 80130 of the Water Code.  DWR further proposes that upon its written acceptance thereof, our order would constitute an agreement between DWR and the Commission within the meaning of Water Code Section 80110.  That statute provides in relevant part that:</w:t>
      </w:r>
    </w:p>
    <w:p>
      <w:pPr>
        <w:pStyle w:val="quote"/>
        <w:spacing w:before="0" w:after="0"/>
        <w:rPr/>
      </w:pPr>
      <w:r>
        <w:rPr/>
        <w:t>“</w:t>
      </w:r>
      <w:r>
        <w:rPr/>
        <w:t>The commission may enter into an agreement with the department with respect to charges under Section 451 for purposes of this division, and that agreement shall have the force and effect of a financing order adopted in accordance with Article 5.5 (commencing with Section 840) of Chapter 4 of Part 1 of Division 1 of the Public Utilities Code, as determined by the commission.”</w:t>
      </w:r>
    </w:p>
    <w:p>
      <w:pPr>
        <w:pStyle w:val="Normal"/>
        <w:ind w:start="720" w:end="720"/>
        <w:rPr/>
      </w:pPr>
      <w:r>
        <w:rPr/>
      </w:r>
    </w:p>
    <w:p>
      <w:pPr>
        <w:pStyle w:val="standard"/>
        <w:rPr/>
      </w:pPr>
      <w:r>
        <w:rPr/>
        <w:t>This provision must be read in conjunction with Water Code Section 80130, which provides in relevant part that:</w:t>
      </w:r>
    </w:p>
    <w:p>
      <w:pPr>
        <w:pStyle w:val="quote"/>
        <w:spacing w:before="0" w:after="0"/>
        <w:rPr/>
      </w:pPr>
      <w:r>
        <w:rPr/>
        <w:t>“</w:t>
      </w:r>
      <w:r>
        <w:rPr/>
        <w:t>In addition, before the issuance of bonds, the department shall establish a mechanism to ensure that the bonds will be sold at investment grade ratings and repaid on a timely basis from pledged revenues. This mechanism may include, but is not limited to, an agreement between the department and the commission as described in Section 80110.”</w:t>
      </w:r>
    </w:p>
    <w:p>
      <w:pPr>
        <w:pStyle w:val="Normal"/>
        <w:ind w:start="720" w:end="720"/>
        <w:rPr/>
      </w:pPr>
      <w:r>
        <w:rPr/>
      </w:r>
    </w:p>
    <w:p>
      <w:pPr>
        <w:pStyle w:val="standard"/>
        <w:rPr/>
      </w:pPr>
      <w:r>
        <w:rPr/>
        <w:t>The Legislature clearly anticipates that the Commission and DWR would enter into necessary agreements to ensure the marketability of the bonds.  Determination of both the CPA and the annual revenues produced by the CPA are key steps in determining the maximum amount of bonds that may be issued.  DWR should be able to rely upon these determinations.  Accordingly, with respect to our determination of the CPA rate and the annual revenues generated by the CPA, we agree that DWR’s request should be approved.  Upon their written acceptance by the department, the determinations of both the CPA and the annual revenues produced by the CPA made herein shall constitute a rate agreement between DWR and the Commission within the meaning of Section 80110 of the Water Code, and such agreement shall have the full force and effect of a financing order.</w:t>
      </w:r>
    </w:p>
    <w:p>
      <w:pPr>
        <w:pStyle w:val="Heading1"/>
        <w:tabs>
          <w:tab w:val="clear" w:pos="360"/>
          <w:tab w:val="left" w:pos="450" w:leader="none"/>
          <w:tab w:val="left" w:pos="720" w:leader="none"/>
        </w:tabs>
        <w:rPr/>
      </w:pPr>
      <w:r>
        <w:rPr/>
        <w:t>Motions to Strike TURN’s Comments</w:t>
      </w:r>
    </w:p>
    <w:p>
      <w:pPr>
        <w:pStyle w:val="standard"/>
        <w:rPr/>
      </w:pPr>
      <w:r>
        <w:rPr/>
        <w:t xml:space="preserve">The motions of Edison, PG&amp;E and SDG&amp;E to strike the comments of TURN are denied.  We value the comments of all participants in our proceedings. </w:t>
      </w:r>
    </w:p>
    <w:p>
      <w:pPr>
        <w:pStyle w:val="Heading1"/>
        <w:tabs>
          <w:tab w:val="left" w:pos="360" w:leader="none"/>
          <w:tab w:val="left" w:pos="720" w:leader="none"/>
        </w:tabs>
        <w:spacing w:lineRule="auto" w:line="360" w:before="0" w:after="0"/>
        <w:rPr/>
      </w:pPr>
      <w:r>
        <w:rPr/>
        <w:t>Comments on Decision</w:t>
      </w:r>
    </w:p>
    <w:p>
      <w:pPr>
        <w:pStyle w:val="standard"/>
        <w:rPr/>
      </w:pPr>
      <w:r>
        <w:rPr/>
        <w:t>Under Pub. Util. Code Section 311(g)(3) and Rule 77.7(f)(9) of the Rules of Practice and Procedure, the Commission may determine on its own motion that public necessity requires reduction or waiver of the 30-day public review and comment period set by Pub. Util. Code Section 311(g)(1).  We have weighed the interest in allowing the full comment period against the need to provide DWR with certainty about the minimum revenues that will be generated by the CPAs of the three utilities and the need for DWR to begin to receive revenue collected by the utilities for electricity DWR has sold to customers.  We conclude that the public interest in providing certainty at an early date, especially in the current energy crisis, outweighs the interest in allowing a full comment period.  Therefore, this period is waived.</w:t>
      </w:r>
      <w:r>
        <w:rPr>
          <w:sz w:val="36"/>
        </w:rPr>
        <w:t xml:space="preserve"> </w:t>
      </w:r>
    </w:p>
    <w:p>
      <w:pPr>
        <w:pStyle w:val="dummy"/>
        <w:rPr/>
      </w:pPr>
      <w:r>
        <w:rPr/>
        <w:t>Findings of Fact</w:t>
      </w:r>
    </w:p>
    <w:p>
      <w:pPr>
        <w:pStyle w:val="num1"/>
        <w:numPr>
          <w:ilvl w:val="0"/>
          <w:numId w:val="3"/>
        </w:numPr>
        <w:rPr/>
      </w:pPr>
      <w:r>
        <w:rPr/>
        <w:t>When retail end use customers being served by utilities take delivery of power procured by DWR, the retail end use customers are deemed to have purchased the power from DWR.</w:t>
      </w:r>
    </w:p>
    <w:p>
      <w:pPr>
        <w:pStyle w:val="num1"/>
        <w:numPr>
          <w:ilvl w:val="0"/>
          <w:numId w:val="3"/>
        </w:numPr>
        <w:rPr/>
      </w:pPr>
      <w:r>
        <w:rPr/>
        <w:t>DWR power is to be allocated pro rata among all classes of customers to the extent possible.</w:t>
      </w:r>
    </w:p>
    <w:p>
      <w:pPr>
        <w:pStyle w:val="num1"/>
        <w:numPr>
          <w:ilvl w:val="0"/>
          <w:numId w:val="3"/>
        </w:numPr>
        <w:rPr/>
      </w:pPr>
      <w:r>
        <w:rPr/>
        <w:t>The California Department of Water Resources (DWR) set forth in a letter to the Commission dated March 14, 2001, its views on how the Commission should determine the CPA.</w:t>
      </w:r>
    </w:p>
    <w:p>
      <w:pPr>
        <w:pStyle w:val="num1"/>
        <w:numPr>
          <w:ilvl w:val="0"/>
          <w:numId w:val="3"/>
        </w:numPr>
        <w:rPr/>
      </w:pPr>
      <w:r>
        <w:rPr/>
        <w:t>Establishing the CPA is a critical element in the implementation of AB 1X.</w:t>
      </w:r>
    </w:p>
    <w:p>
      <w:pPr>
        <w:pStyle w:val="num1"/>
        <w:numPr>
          <w:ilvl w:val="0"/>
          <w:numId w:val="3"/>
        </w:numPr>
        <w:rPr/>
      </w:pPr>
      <w:r>
        <w:rPr/>
        <w:t>Establishing the CPA is also important to any long-term or short-term financing.</w:t>
      </w:r>
    </w:p>
    <w:p>
      <w:pPr>
        <w:pStyle w:val="num1"/>
        <w:numPr>
          <w:ilvl w:val="0"/>
          <w:numId w:val="3"/>
        </w:numPr>
        <w:rPr/>
      </w:pPr>
      <w:r>
        <w:rPr/>
        <w:t>DWR’s power purchases and sales to retail end-use customers relieve utilities of the costs for the net short procured by DWR.</w:t>
      </w:r>
    </w:p>
    <w:p>
      <w:pPr>
        <w:pStyle w:val="num1"/>
        <w:numPr>
          <w:ilvl w:val="0"/>
          <w:numId w:val="3"/>
        </w:numPr>
        <w:rPr/>
      </w:pPr>
      <w:r>
        <w:rPr/>
        <w:t xml:space="preserve">For the sale of net short energy to the customers of each utility, DWR should receive a per-kWh price equal to the applicable generation-related retail rate per kilowatt-hour established for each utility as in effect on January 5, 2001.  This is not the sole source  of revenue to which DWR may be entitled. </w:t>
      </w:r>
    </w:p>
    <w:p>
      <w:pPr>
        <w:pStyle w:val="num1"/>
        <w:numPr>
          <w:ilvl w:val="0"/>
          <w:numId w:val="3"/>
        </w:numPr>
        <w:rPr/>
      </w:pPr>
      <w:r>
        <w:rPr/>
        <w:t>CPA is a set rate.</w:t>
      </w:r>
    </w:p>
    <w:p>
      <w:pPr>
        <w:pStyle w:val="num2"/>
        <w:numPr>
          <w:ilvl w:val="0"/>
          <w:numId w:val="3"/>
        </w:numPr>
        <w:rPr/>
      </w:pPr>
      <w:r>
        <w:rPr/>
        <w:t>The Fixed DWR Set-Aside is portion of the utility’s CPA that the Commission allocates to the DWR.</w:t>
      </w:r>
    </w:p>
    <w:p>
      <w:pPr>
        <w:pStyle w:val="num1"/>
        <w:numPr>
          <w:ilvl w:val="0"/>
          <w:numId w:val="3"/>
        </w:numPr>
        <w:rPr/>
      </w:pPr>
      <w:r>
        <w:rPr/>
        <w:t xml:space="preserve">Calculation of the CPA does not alter DWR’s right to recover any portion of its revenue requirement, which is not fully recovered through existing rates. </w:t>
      </w:r>
    </w:p>
    <w:p>
      <w:pPr>
        <w:pStyle w:val="num1"/>
        <w:numPr>
          <w:ilvl w:val="0"/>
          <w:numId w:val="3"/>
        </w:numPr>
        <w:rPr/>
      </w:pPr>
      <w:r>
        <w:rPr/>
        <w:t xml:space="preserve">Upon the delivery of DWR power to retail end use customers, such customers are deemed to have purchased that power from the DWR. </w:t>
      </w:r>
    </w:p>
    <w:p>
      <w:pPr>
        <w:pStyle w:val="num1"/>
        <w:numPr>
          <w:ilvl w:val="0"/>
          <w:numId w:val="3"/>
        </w:numPr>
        <w:rPr/>
      </w:pPr>
      <w:r>
        <w:rPr/>
        <w:t xml:space="preserve">Payment for any sale of DWR power is a direct obligation of the retail end use customer to DWR. </w:t>
      </w:r>
    </w:p>
    <w:p>
      <w:pPr>
        <w:pStyle w:val="num1"/>
        <w:numPr>
          <w:ilvl w:val="0"/>
          <w:numId w:val="3"/>
        </w:numPr>
        <w:rPr/>
      </w:pPr>
      <w:r>
        <w:rPr/>
        <w:t>DWR’s procurement of power and sale, at current rates, of such power to retail end use customers improves the financial stability of SDG&amp;E, PG&amp;E and Edison.</w:t>
      </w:r>
    </w:p>
    <w:p>
      <w:pPr>
        <w:pStyle w:val="num1"/>
        <w:numPr>
          <w:ilvl w:val="0"/>
          <w:numId w:val="3"/>
        </w:numPr>
        <w:rPr/>
      </w:pPr>
      <w:r>
        <w:rPr/>
        <w:t xml:space="preserve">The CPA’s generation related rate component (and in turn the CPA) is derived from rates in effect as of January 5, 2001.  </w:t>
      </w:r>
    </w:p>
    <w:p>
      <w:pPr>
        <w:pStyle w:val="num1"/>
        <w:numPr>
          <w:ilvl w:val="0"/>
          <w:numId w:val="3"/>
        </w:numPr>
        <w:rPr/>
      </w:pPr>
      <w:r>
        <w:rPr/>
        <w:t>The CPA’s generation related rate component (and in turn the CPA rate)  includes the 1-cent/kWh surcharge adopted by D.01</w:t>
        <w:noBreakHyphen/>
        <w:t>01</w:t>
        <w:noBreakHyphen/>
        <w:t>018.</w:t>
      </w:r>
    </w:p>
    <w:p>
      <w:pPr>
        <w:pStyle w:val="num1"/>
        <w:numPr>
          <w:ilvl w:val="0"/>
          <w:numId w:val="3"/>
        </w:numPr>
        <w:rPr/>
      </w:pPr>
      <w:r>
        <w:rPr/>
        <w:t>For Edison and PG&amp;E the generation-related component of retail rates should be equal to the total bundled electric rate (including 1 cent/kWh surcharge) less  the following non-generation-related rates or charges:</w:t>
      </w:r>
    </w:p>
    <w:p>
      <w:pPr>
        <w:pStyle w:val="standard"/>
        <w:rPr/>
      </w:pPr>
      <w:r>
        <w:rPr/>
        <w:tab/>
        <w:tab/>
        <w:tab/>
        <w:t>Transmission (including “reliability services” for PG&amp;E)</w:t>
      </w:r>
    </w:p>
    <w:p>
      <w:pPr>
        <w:pStyle w:val="standard"/>
        <w:rPr/>
      </w:pPr>
      <w:r>
        <w:rPr/>
        <w:tab/>
        <w:tab/>
        <w:tab/>
        <w:t>Distribution</w:t>
      </w:r>
    </w:p>
    <w:p>
      <w:pPr>
        <w:pStyle w:val="standard"/>
        <w:rPr/>
      </w:pPr>
      <w:r>
        <w:rPr/>
        <w:tab/>
        <w:tab/>
        <w:tab/>
        <w:t>Public Purpose Programs</w:t>
      </w:r>
    </w:p>
    <w:p>
      <w:pPr>
        <w:pStyle w:val="standard"/>
        <w:rPr/>
      </w:pPr>
      <w:r>
        <w:rPr/>
        <w:tab/>
        <w:tab/>
        <w:tab/>
        <w:t>Nuclear Decommissioning</w:t>
      </w:r>
    </w:p>
    <w:p>
      <w:pPr>
        <w:pStyle w:val="standard"/>
        <w:rPr/>
      </w:pPr>
      <w:r>
        <w:rPr/>
        <w:tab/>
        <w:tab/>
        <w:tab/>
        <w:t>Fixed Transition Amount.</w:t>
      </w:r>
    </w:p>
    <w:p>
      <w:pPr>
        <w:pStyle w:val="num1"/>
        <w:numPr>
          <w:ilvl w:val="0"/>
          <w:numId w:val="2"/>
        </w:numPr>
        <w:tabs>
          <w:tab w:val="left" w:pos="-720" w:leader="none"/>
          <w:tab w:val="left" w:pos="0" w:leader="none"/>
        </w:tabs>
        <w:ind w:firstLine="360" w:start="0" w:end="0"/>
        <w:rPr/>
      </w:pPr>
      <w:r>
        <w:rPr>
          <w:rFonts w:eastAsia="PALATINO;Book Antiqua"/>
        </w:rPr>
        <w:t xml:space="preserve"> </w:t>
      </w:r>
      <w:r>
        <w:rPr/>
        <w:t>For customers subject to SDG&amp;E’s rate ceiling of 6.5¢/kWh, the generation-related rate component is 6.5 cent/kWh.</w:t>
      </w:r>
    </w:p>
    <w:p>
      <w:pPr>
        <w:pStyle w:val="num2"/>
        <w:numPr>
          <w:ilvl w:val="0"/>
          <w:numId w:val="12"/>
        </w:numPr>
        <w:rPr/>
      </w:pPr>
      <w:r>
        <w:rPr/>
        <w:t>For customers not subject to SDG&amp;E’s rate ceiling, the generation-related rate component is based on an estimate of wholesale prices.</w:t>
      </w:r>
    </w:p>
    <w:p>
      <w:pPr>
        <w:pStyle w:val="num2"/>
        <w:numPr>
          <w:ilvl w:val="0"/>
          <w:numId w:val="12"/>
        </w:numPr>
        <w:rPr/>
      </w:pPr>
      <w:r>
        <w:rPr/>
        <w:t>Each utility’s tariffs contain many different rate schedules resulting in different generation-related rate components for different schedules.</w:t>
      </w:r>
    </w:p>
    <w:p>
      <w:pPr>
        <w:pStyle w:val="num2"/>
        <w:numPr>
          <w:ilvl w:val="0"/>
          <w:numId w:val="12"/>
        </w:numPr>
        <w:rPr/>
      </w:pPr>
      <w:r>
        <w:rPr/>
        <w:t xml:space="preserve">The company-wide average generation-related rate component for Edison is 7.277 ¢/kWh. </w:t>
      </w:r>
    </w:p>
    <w:p>
      <w:pPr>
        <w:pStyle w:val="num1"/>
        <w:numPr>
          <w:ilvl w:val="0"/>
          <w:numId w:val="12"/>
        </w:numPr>
        <w:rPr/>
      </w:pPr>
      <w:r>
        <w:rPr/>
        <w:t xml:space="preserve">The company-wide average generation-related rate component for PG&amp;E is 6.437 ¢/kWh. </w:t>
      </w:r>
    </w:p>
    <w:p>
      <w:pPr>
        <w:pStyle w:val="num1"/>
        <w:numPr>
          <w:ilvl w:val="0"/>
          <w:numId w:val="12"/>
        </w:numPr>
        <w:rPr/>
      </w:pPr>
      <w:r>
        <w:rPr/>
        <w:t>The company-wide average generation-related rate component for SDG&amp;E capped customers is 6.5 ¢/kWh for</w:t>
      </w:r>
    </w:p>
    <w:p>
      <w:pPr>
        <w:pStyle w:val="num2"/>
        <w:numPr>
          <w:ilvl w:val="0"/>
          <w:numId w:val="12"/>
        </w:numPr>
        <w:rPr/>
      </w:pPr>
      <w:r>
        <w:rPr/>
        <w:t>The company-wide average generation-related rate component for SDG&amp;E uncapped customers is 12.539 ¢/kWh.</w:t>
      </w:r>
    </w:p>
    <w:p>
      <w:pPr>
        <w:pStyle w:val="num2"/>
        <w:numPr>
          <w:ilvl w:val="0"/>
          <w:numId w:val="12"/>
        </w:numPr>
        <w:rPr/>
      </w:pPr>
      <w:r>
        <w:rPr/>
        <w:t xml:space="preserve">A utility’s CPA is calculated by dividing CPA-generated revenues  by the company’s total annual kWh. </w:t>
      </w:r>
    </w:p>
    <w:p>
      <w:pPr>
        <w:pStyle w:val="num2"/>
        <w:numPr>
          <w:ilvl w:val="0"/>
          <w:numId w:val="12"/>
        </w:numPr>
        <w:rPr/>
      </w:pPr>
      <w:r>
        <w:rPr/>
        <w:t xml:space="preserve">Under AB 1X, the CPA serves to calculate the Fixed DWR Set-Aside and also the amount of bonds that DWR may issue.  </w:t>
      </w:r>
    </w:p>
    <w:p>
      <w:pPr>
        <w:pStyle w:val="num2"/>
        <w:numPr>
          <w:ilvl w:val="0"/>
          <w:numId w:val="12"/>
        </w:numPr>
        <w:rPr/>
      </w:pPr>
      <w:r>
        <w:rPr>
          <w:rFonts w:eastAsia="PALATINO;Book Antiqua"/>
        </w:rPr>
        <w:t xml:space="preserve"> </w:t>
      </w:r>
      <w:r>
        <w:rPr/>
        <w:t>Franchise fees, uncollectibles, direct access credits, restructuring implementation costs, employee</w:t>
        <w:noBreakHyphen/>
        <w:t xml:space="preserve">related transition costs, losses on sale and QF shareholder incentives, rate reduction bond revenues, nuclear incentive amounts, customer service and informational expenses and administrative and general (A&amp;G) costs should be excluded from utility costs for the purpose of calculating the sum of the utility's own generation, qualifying facility contracts, existing bilateral contracts, and ancillary services pursuant to Pub. Util. Code Section 360.5.  </w:t>
      </w:r>
    </w:p>
    <w:p>
      <w:pPr>
        <w:pStyle w:val="num2"/>
        <w:numPr>
          <w:ilvl w:val="0"/>
          <w:numId w:val="12"/>
        </w:numPr>
        <w:rPr/>
      </w:pPr>
      <w:r>
        <w:rPr/>
        <w:t xml:space="preserve">The cost figures the utilities included in their workpapers are useful for the sole purpose of calculating CPA to permit DWR to determine the maximum amount of bonds it may issue.  </w:t>
      </w:r>
    </w:p>
    <w:p>
      <w:pPr>
        <w:pStyle w:val="num2"/>
        <w:numPr>
          <w:ilvl w:val="0"/>
          <w:numId w:val="12"/>
        </w:numPr>
        <w:rPr/>
      </w:pPr>
      <w:r>
        <w:rPr/>
        <w:t>Determination of both the CPA and the annual revenues produced by the CPA are key steps in determining the maximum amount of bonds that may be issued.</w:t>
      </w:r>
    </w:p>
    <w:p>
      <w:pPr>
        <w:pStyle w:val="num2"/>
        <w:numPr>
          <w:ilvl w:val="0"/>
          <w:numId w:val="12"/>
        </w:numPr>
        <w:rPr/>
      </w:pPr>
      <w:r>
        <w:rPr/>
        <w:t>PG&amp;E and Edison apparently have not complied with the requirement in D.01</w:t>
        <w:noBreakHyphen/>
        <w:t xml:space="preserve">01-061 to segregate and transfer to DWR, consistent with D.01-01-061, the revenues received for charges paid by retail end use customers for energy sold by DWR.  </w:t>
      </w:r>
    </w:p>
    <w:p>
      <w:pPr>
        <w:pStyle w:val="num2"/>
        <w:numPr>
          <w:ilvl w:val="0"/>
          <w:numId w:val="12"/>
        </w:numPr>
        <w:rPr/>
      </w:pPr>
      <w:r>
        <w:rPr/>
        <w:t xml:space="preserve">For all power not covered by D.01-01-061, DWR is entitled to receive the company-wide average generation-related rate component for each kilowatt-hour that DWR supplies to the utility’s retail end use customers.  </w:t>
      </w:r>
    </w:p>
    <w:p>
      <w:pPr>
        <w:pStyle w:val="dummy"/>
        <w:rPr/>
      </w:pPr>
      <w:r>
        <w:rPr/>
        <w:t>Conclusion of Law</w:t>
      </w:r>
    </w:p>
    <w:p>
      <w:pPr>
        <w:pStyle w:val="num1"/>
        <w:numPr>
          <w:ilvl w:val="0"/>
          <w:numId w:val="6"/>
        </w:numPr>
        <w:rPr/>
      </w:pPr>
      <w:r>
        <w:rPr/>
        <w:t>DWR should receive payment for power it purchases and sells to retail end-use customers.</w:t>
      </w:r>
    </w:p>
    <w:p>
      <w:pPr>
        <w:pStyle w:val="num1"/>
        <w:numPr>
          <w:ilvl w:val="0"/>
          <w:numId w:val="6"/>
        </w:numPr>
        <w:rPr/>
      </w:pPr>
      <w:r>
        <w:rPr/>
        <w:t>.  DWR is entitled to an amount equal to the number of kWh sold to retail end use customer multiplied by the relevant generation rate.</w:t>
      </w:r>
    </w:p>
    <w:p>
      <w:pPr>
        <w:pStyle w:val="num1"/>
        <w:numPr>
          <w:ilvl w:val="0"/>
          <w:numId w:val="6"/>
        </w:numPr>
        <w:rPr/>
      </w:pPr>
      <w:r>
        <w:rPr/>
        <w:t>Monies other than the CPA may flow to DWR.</w:t>
      </w:r>
    </w:p>
    <w:p>
      <w:pPr>
        <w:pStyle w:val="num1"/>
        <w:numPr>
          <w:ilvl w:val="0"/>
          <w:numId w:val="6"/>
        </w:numPr>
        <w:rPr/>
      </w:pPr>
      <w:r>
        <w:rPr/>
        <w:t>DWR retains title to all power sold by it to retail end use customers.</w:t>
      </w:r>
    </w:p>
    <w:p>
      <w:pPr>
        <w:pStyle w:val="num1"/>
        <w:numPr>
          <w:ilvl w:val="0"/>
          <w:numId w:val="6"/>
        </w:numPr>
        <w:rPr/>
      </w:pPr>
      <w:r>
        <w:rPr/>
        <w:t xml:space="preserve">Utilities must deposit, in the DWR Electric Power fund, all money paid directly or indirectly to or for the account of DWR with respect to any sale of power acquired by DWR.   </w:t>
      </w:r>
    </w:p>
    <w:p>
      <w:pPr>
        <w:pStyle w:val="num1"/>
        <w:numPr>
          <w:ilvl w:val="0"/>
          <w:numId w:val="6"/>
        </w:numPr>
        <w:rPr/>
      </w:pPr>
      <w:r>
        <w:rPr/>
        <w:t>All money paid directly or indirectly to or for the account of DWR with respect to any sale of power acquired by DWR shall constitute property of DWR.</w:t>
      </w:r>
    </w:p>
    <w:p>
      <w:pPr>
        <w:pStyle w:val="num1"/>
        <w:numPr>
          <w:ilvl w:val="0"/>
          <w:numId w:val="6"/>
        </w:numPr>
        <w:rPr/>
      </w:pPr>
      <w:r>
        <w:rPr/>
        <w:t>Utilities, on the terms and conditions established by DWR, must segregate any moneys received in the process of collection, and pending their transfer to DWR by the utility, must hold such monies in trust for the benefit of DWR.</w:t>
      </w:r>
    </w:p>
    <w:p>
      <w:pPr>
        <w:pStyle w:val="num1"/>
        <w:numPr>
          <w:ilvl w:val="0"/>
          <w:numId w:val="6"/>
        </w:numPr>
        <w:rPr/>
      </w:pPr>
      <w:r>
        <w:rPr/>
        <w:t xml:space="preserve">It unreasonable for utilities to retain the revenue generated from DWR purchases of electricity that is sold to the utilities’ retail end use customers, even though they are in financial distress.  Until such time as schedule specific generation-related rates are calculated, the utilities should use the company-wide average generation-related rate for determining the sums they must transfer to DWR.  </w:t>
      </w:r>
    </w:p>
    <w:p>
      <w:pPr>
        <w:pStyle w:val="num2"/>
        <w:numPr>
          <w:ilvl w:val="0"/>
          <w:numId w:val="6"/>
        </w:numPr>
        <w:rPr/>
      </w:pPr>
      <w:r>
        <w:rPr/>
        <w:t xml:space="preserve">Until such time as schedule specific generation-related rates are calculated: Forty-five days after DWR supplies power to the utilities’ retail end use customers the utility should remit to DWR an amount equal to the product of the number of kilowatt-hours that DWR provided 45-days earlier and the company-wide generation-related rate.  </w:t>
      </w:r>
    </w:p>
    <w:p>
      <w:pPr>
        <w:pStyle w:val="num2"/>
        <w:numPr>
          <w:ilvl w:val="0"/>
          <w:numId w:val="6"/>
        </w:numPr>
        <w:rPr/>
      </w:pPr>
      <w:r>
        <w:rPr/>
        <w:t xml:space="preserve">For all electricity supplied by DWR more than 45-days prior to the effective date of today’s order the utility shall immediately segregate and hold in trust the funds owing to DWR.  </w:t>
      </w:r>
    </w:p>
    <w:p>
      <w:pPr>
        <w:pStyle w:val="num2"/>
        <w:numPr>
          <w:ilvl w:val="0"/>
          <w:numId w:val="6"/>
        </w:numPr>
        <w:rPr/>
      </w:pPr>
      <w:r>
        <w:rPr/>
        <w:t>SDG&amp;E, Edison and PG&amp;E should submit tariff schedule-specific generation-related rates so that each customer’s bill will specifically identify the generation-related rate for DWR.</w:t>
      </w:r>
    </w:p>
    <w:p>
      <w:pPr>
        <w:pStyle w:val="num2"/>
        <w:numPr>
          <w:ilvl w:val="0"/>
          <w:numId w:val="6"/>
        </w:numPr>
        <w:rPr/>
      </w:pPr>
      <w:r>
        <w:rPr/>
        <w:t xml:space="preserve">SDG&amp;E, Edison and PG&amp;E should determine the number of DWR supplied kilowatt-hours on each customer’s bill to which this customer specific generation-related rate will be applied using the method set forth in this order. </w:t>
      </w:r>
    </w:p>
    <w:p>
      <w:pPr>
        <w:pStyle w:val="num2"/>
        <w:numPr>
          <w:ilvl w:val="0"/>
          <w:numId w:val="6"/>
        </w:numPr>
        <w:rPr/>
      </w:pPr>
      <w:r>
        <w:rPr/>
        <w:t>The utility shall not have any right in and to DWR revenues and such revenues shall not be used by the utility as its own or commingled with its own monies.  At all times such revenue shall constitute property of DWR only.</w:t>
      </w:r>
    </w:p>
    <w:p>
      <w:pPr>
        <w:pStyle w:val="num2"/>
        <w:numPr>
          <w:ilvl w:val="0"/>
          <w:numId w:val="6"/>
        </w:numPr>
        <w:rPr/>
      </w:pPr>
      <w:r>
        <w:rPr/>
        <w:t xml:space="preserve">The payment mechanisms established in this decision is essential and necessary to accomplish the directives of Water Code Section 80112.  </w:t>
      </w:r>
    </w:p>
    <w:p>
      <w:pPr>
        <w:pStyle w:val="num2"/>
        <w:numPr>
          <w:ilvl w:val="0"/>
          <w:numId w:val="6"/>
        </w:numPr>
        <w:rPr/>
      </w:pPr>
      <w:r>
        <w:rPr/>
        <w:t>Edison and PG&amp;E should comply with ordering paragraph 7 of D.01</w:t>
        <w:noBreakHyphen/>
        <w:t>01</w:t>
        <w:noBreakHyphen/>
        <w:t xml:space="preserve">061 by 9am on the day following the effective date of this decision.  If Edison and PG&amp;E are unable to calculate the amount owed to DWR pursuant to D.01-01-061, each utility shall pay DWR for the number of kWhs that DWR asserts it provided to that utility’s retail end-use customers pursuant to SB 7X.  Edison shall pay a rate of 6.277 cents for each such kWh.  PG&amp;E shall pay a rate of 5.437 cents for each such kWh. </w:t>
      </w:r>
    </w:p>
    <w:p>
      <w:pPr>
        <w:pStyle w:val="num2"/>
        <w:numPr>
          <w:ilvl w:val="0"/>
          <w:numId w:val="6"/>
        </w:numPr>
        <w:rPr/>
      </w:pPr>
      <w:r>
        <w:rPr/>
        <w:t>The determination of the CPA rate and the annual revenues generated by the CPA should, upon acceptance in writing by the California Department of Water Resources (DWR), constitute an agreement between this Commission and DWR within the meaning of Water Code Section 80110, and as such should have the full force and effect of a financing order adopted in accordance with Article 5.5 (commencing with Section 840) of Chapter 4 of Part 1 of Division 1 of the Public Utilities Code.</w:t>
      </w:r>
    </w:p>
    <w:p>
      <w:pPr>
        <w:pStyle w:val="num2"/>
        <w:numPr>
          <w:ilvl w:val="0"/>
          <w:numId w:val="6"/>
        </w:numPr>
        <w:rPr/>
      </w:pPr>
      <w:r>
        <w:rPr/>
        <w:t>The motions of Edison, PG&amp;E and SDG&amp;E to strike the comments of TURN should be denied.</w:t>
      </w:r>
    </w:p>
    <w:p>
      <w:pPr>
        <w:pStyle w:val="main"/>
        <w:rPr/>
      </w:pPr>
      <w:r>
        <w:rPr/>
      </w:r>
    </w:p>
    <w:p>
      <w:pPr>
        <w:pStyle w:val="main"/>
        <w:rPr/>
      </w:pPr>
      <w:r>
        <w:rPr/>
        <w:t>INTERIM ORDER</w:t>
      </w:r>
    </w:p>
    <w:p>
      <w:pPr>
        <w:pStyle w:val="Normal"/>
        <w:keepNext w:val="true"/>
        <w:rPr/>
      </w:pPr>
      <w:r>
        <w:rPr/>
      </w:r>
    </w:p>
    <w:p>
      <w:pPr>
        <w:pStyle w:val="standard"/>
        <w:keepNext w:val="true"/>
        <w:rPr/>
      </w:pPr>
      <w:r>
        <w:rPr>
          <w:b/>
        </w:rPr>
        <w:t>IT IS ORDERED</w:t>
      </w:r>
      <w:r>
        <w:rPr/>
        <w:t xml:space="preserve"> that:</w:t>
      </w:r>
    </w:p>
    <w:p>
      <w:pPr>
        <w:pStyle w:val="num1"/>
        <w:numPr>
          <w:ilvl w:val="0"/>
          <w:numId w:val="8"/>
        </w:numPr>
        <w:rPr/>
      </w:pPr>
      <w:r>
        <w:rPr/>
        <w:t xml:space="preserve">Our determination in this order of the California Procurement Adjustment (CPA) rates for each utility and the annual revenues generated by the CPA shall, upon acceptance in writing by the California Department of Water Resources (DWR), constitute an agreement between this Commission and DWR within the meaning of Water Code Section 80110, and as such shall have the full force and effect of a financing order adopted in accordance with Article 5.5 (commencing with Section 840) of Chapter 4 of Part 1 of Division 1 of the Public Utilities Code.  This ordering paragraph applies solely to our determination of the company-wide average CPA rates and the annual revenues generated by the CPA, and to no other provision of this decision.  </w:t>
      </w:r>
    </w:p>
    <w:p>
      <w:pPr>
        <w:pStyle w:val="num1"/>
        <w:numPr>
          <w:ilvl w:val="0"/>
          <w:numId w:val="8"/>
        </w:numPr>
        <w:rPr/>
      </w:pPr>
      <w:r>
        <w:rPr/>
        <w:t xml:space="preserve">The company-wide average generation related rates are 7.277 cents per kWh for Edison, 6.437 cents per kWh for PG&amp;E, 6.5 cents per kWh for SDG&amp;E capped customers, and  12.539 cents per kWh for SDG&amp;E uncapped customers. </w:t>
      </w:r>
    </w:p>
    <w:p>
      <w:pPr>
        <w:pStyle w:val="num1"/>
        <w:numPr>
          <w:ilvl w:val="0"/>
          <w:numId w:val="8"/>
        </w:numPr>
        <w:rPr/>
      </w:pPr>
      <w:r>
        <w:rPr/>
        <w:t>Until such time as schedule specific generation-related rates are calculated, the San Diego Gas &amp; Electric Company (SDG&amp;E), Southern California Edison Company (Edison) and Pacific Gas and Electric Company (PG&amp;E) must use the company-wide average generation-related</w:t>
      </w:r>
      <w:r>
        <w:rPr>
          <w:b/>
        </w:rPr>
        <w:t xml:space="preserve"> </w:t>
      </w:r>
      <w:r>
        <w:rPr/>
        <w:t xml:space="preserve">rate established in the ordering paragraphs of this decision for determining the sums they must transfer to DWR, pursuant to ordering paragraphs 4 and 5 except as otherwise provided by ordering paragraph 8.  </w:t>
      </w:r>
    </w:p>
    <w:p>
      <w:pPr>
        <w:pStyle w:val="num1"/>
        <w:numPr>
          <w:ilvl w:val="0"/>
          <w:numId w:val="8"/>
        </w:numPr>
        <w:rPr/>
      </w:pPr>
      <w:r>
        <w:rPr/>
        <w:t>Forty-five days after DWR supplies power to the retail end use customers of SDG&amp;E, Edison and PG&amp;E, the utility shall remit to DWR an amount equal to the product of the number of kilowatt-hours that DWR provided 45 days earlier and the company-wide average generation-related rate.</w:t>
      </w:r>
    </w:p>
    <w:p>
      <w:pPr>
        <w:pStyle w:val="num1"/>
        <w:numPr>
          <w:ilvl w:val="0"/>
          <w:numId w:val="8"/>
        </w:numPr>
        <w:rPr/>
      </w:pPr>
      <w:r>
        <w:rPr/>
        <w:t xml:space="preserve">For all electricity supplied by DWR more than 45 days prior to the effective date of today’s order, SDG&amp;E, Edison and PG&amp;E shall immediately segregate and hold in trust the funds owing to DWR, except as otherwise provided in Ordering Paragraph 8. </w:t>
      </w:r>
    </w:p>
    <w:p>
      <w:pPr>
        <w:pStyle w:val="num1"/>
        <w:numPr>
          <w:ilvl w:val="0"/>
          <w:numId w:val="8"/>
        </w:numPr>
        <w:rPr/>
      </w:pPr>
      <w:r>
        <w:rPr/>
        <w:t>Within 30 days of today’s order, each utility shall file the tariff changes necessary to implement the more precise billing methodology set forth in this decision and shall implement billing under this more precise methodology within 30 days of the approval, by the Commission or its staff, of the tariff changes.</w:t>
      </w:r>
    </w:p>
    <w:p>
      <w:pPr>
        <w:pStyle w:val="num1"/>
        <w:numPr>
          <w:ilvl w:val="0"/>
          <w:numId w:val="8"/>
        </w:numPr>
        <w:rPr/>
      </w:pPr>
      <w:r>
        <w:rPr/>
        <w:t>The utility shall not have any right in and to DWR revenues and such revenues shall not be used by the utility as its own or commingled with its own monies.  At all times such revenue shall constitute property of DWR only.  The utilities shall provide, by letter to the Commission’s Executive Director, and to the Director of the Department of Water Resources, listing the numbers of the accounts [containing DWR funds held in trust], the names of the financial institutions where the accounts are located, and the amounts deposited therein.  Such letter shall be delivered by fax no later than 1:00 p.m. on March 28, 2001.</w:t>
      </w:r>
    </w:p>
    <w:p>
      <w:pPr>
        <w:pStyle w:val="num1"/>
        <w:numPr>
          <w:ilvl w:val="0"/>
          <w:numId w:val="8"/>
        </w:numPr>
        <w:rPr/>
      </w:pPr>
      <w:r>
        <w:rPr/>
        <w:t xml:space="preserve">Edison and PG&amp;E shall pay DWR by 9am on the day following the effective date of this decision the sums owed pursuant to Ordering Paragraph 7 of D.01-01-061.  If Edison and PG&amp;E are unable to calculate the amount owed to DWR pursuant to D.01-01-061, each utility shall pay DWR for the number of kWhs that DWR asserts it provided to that utility’s retail end-use customers pursuant to SB 7X.  Edison shall pay a rate of 6.277 cents for each such kWh.  PG&amp;E shall pay a rate of 5.437 cents for each such kWh. </w:t>
      </w:r>
    </w:p>
    <w:p>
      <w:pPr>
        <w:pStyle w:val="num1"/>
        <w:numPr>
          <w:ilvl w:val="0"/>
          <w:numId w:val="8"/>
        </w:numPr>
        <w:rPr/>
      </w:pPr>
      <w:r>
        <w:rPr/>
        <w:t>The motions of Edison, PG&amp;E and SDG&amp;E to strike the comments of TURN are denied.</w:t>
      </w:r>
    </w:p>
    <w:p>
      <w:pPr>
        <w:pStyle w:val="standard"/>
        <w:rPr/>
      </w:pPr>
      <w:r>
        <w:rPr/>
        <w:t>This order is effective today.</w:t>
      </w:r>
    </w:p>
    <w:p>
      <w:pPr>
        <w:pStyle w:val="standard"/>
        <w:rPr/>
      </w:pPr>
      <w:r>
        <w:rPr/>
        <w:t xml:space="preserve">Dated </w:t>
      </w:r>
      <w:r>
        <w:rPr>
          <w:u w:val="single"/>
        </w:rPr>
        <w:tab/>
        <w:tab/>
        <w:tab/>
        <w:tab/>
        <w:tab/>
      </w:r>
      <w:r>
        <w:rPr/>
        <w:t xml:space="preserve">, at San Francisco, California. </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pPr>
    </w:p>
    <w:p>
      <w:pPr>
        <w:pStyle w:val="main"/>
        <w:numPr>
          <w:ilvl w:val="0"/>
          <w:numId w:val="0"/>
        </w:numPr>
        <w:rPr/>
      </w:pPr>
      <w:r>
        <w:rPr/>
      </w:r>
    </w:p>
    <w:p>
      <w:pPr>
        <w:sectPr>
          <w:footnotePr>
            <w:numFmt w:val="decimal"/>
          </w:footnotePr>
          <w:type w:val="continuous"/>
          <w:pgSz w:w="12240" w:h="15840"/>
          <w:pgMar w:left="1440" w:right="1440" w:gutter="0" w:header="720" w:top="1152" w:footer="720" w:bottom="1440"/>
          <w:formProt w:val="false"/>
          <w:titlePg/>
          <w:textDirection w:val="lrTb"/>
          <w:docGrid w:type="default" w:linePitch="360" w:charSpace="0"/>
        </w:sectPr>
      </w:pPr>
    </w:p>
    <w:p>
      <w:pPr>
        <w:pStyle w:val="main"/>
        <w:rPr>
          <w:sz w:val="24"/>
        </w:rPr>
      </w:pPr>
      <w:r>
        <w:rPr>
          <w:sz w:val="24"/>
        </w:rPr>
        <w:t>ATTACHMENT A</w:t>
      </w:r>
    </w:p>
    <w:p>
      <w:pPr>
        <w:pStyle w:val="main"/>
        <w:rPr>
          <w:sz w:val="24"/>
        </w:rPr>
      </w:pPr>
      <w:r>
        <w:rPr>
          <w:sz w:val="24"/>
        </w:rPr>
      </w:r>
    </w:p>
    <w:p>
      <w:pPr>
        <w:pStyle w:val="main"/>
        <w:jc w:val="start"/>
        <w:rPr>
          <w:sz w:val="32"/>
        </w:rPr>
      </w:pPr>
      <w:r>
        <w:rPr>
          <w:sz w:val="32"/>
        </w:rPr>
      </w:r>
    </w:p>
    <w:p>
      <w:pPr>
        <w:pStyle w:val="main"/>
        <w:jc w:val="start"/>
        <w:rPr>
          <w:sz w:val="32"/>
        </w:rPr>
      </w:pPr>
      <w:r>
        <w:rPr>
          <w:sz w:val="32"/>
        </w:rPr>
        <w:t>DEPARTMENT OF WATER RESOURCES (Letterhead)</w:t>
      </w:r>
    </w:p>
    <w:p>
      <w:pPr>
        <w:pStyle w:val="main"/>
        <w:jc w:val="start"/>
        <w:rPr>
          <w:sz w:val="32"/>
        </w:rPr>
      </w:pPr>
      <w:r>
        <w:rPr>
          <w:sz w:val="32"/>
        </w:rPr>
      </w:r>
    </w:p>
    <w:p>
      <w:pPr>
        <w:pStyle w:val="standard"/>
        <w:ind w:hanging="0" w:end="0"/>
        <w:rPr/>
      </w:pPr>
      <w:r>
        <w:rPr/>
        <w:t>March 14, 2001</w:t>
      </w:r>
    </w:p>
    <w:p>
      <w:pPr>
        <w:pStyle w:val="standard"/>
        <w:ind w:hanging="0" w:end="0"/>
        <w:rPr/>
      </w:pPr>
      <w:r>
        <w:rPr/>
      </w:r>
    </w:p>
    <w:p>
      <w:pPr>
        <w:pStyle w:val="standard"/>
        <w:spacing w:lineRule="auto" w:line="240"/>
        <w:ind w:hanging="0" w:end="0"/>
        <w:rPr/>
      </w:pPr>
      <w:r>
        <w:rPr/>
        <w:t>Commissioners Public Utilities Commission</w:t>
      </w:r>
    </w:p>
    <w:p>
      <w:pPr>
        <w:pStyle w:val="standard"/>
        <w:spacing w:lineRule="auto" w:line="240"/>
        <w:ind w:hanging="0" w:end="0"/>
        <w:rPr/>
      </w:pPr>
      <w:r>
        <w:rPr/>
        <w:t>505 Van Ness Avenue</w:t>
      </w:r>
    </w:p>
    <w:p>
      <w:pPr>
        <w:pStyle w:val="standard"/>
        <w:spacing w:lineRule="auto" w:line="240"/>
        <w:ind w:hanging="0" w:end="0"/>
        <w:rPr/>
      </w:pPr>
      <w:r>
        <w:rPr/>
        <w:t>San Francisco, California  94102</w:t>
      </w:r>
    </w:p>
    <w:p>
      <w:pPr>
        <w:pStyle w:val="main"/>
        <w:jc w:val="start"/>
        <w:rPr/>
      </w:pPr>
      <w:r>
        <w:rPr/>
      </w:r>
    </w:p>
    <w:p>
      <w:pPr>
        <w:pStyle w:val="standard"/>
        <w:ind w:hanging="0" w:end="0"/>
        <w:rPr/>
      </w:pPr>
      <w:r>
        <w:rPr/>
        <w:t>Dear Commissioners:</w:t>
      </w:r>
    </w:p>
    <w:p>
      <w:pPr>
        <w:pStyle w:val="standard"/>
        <w:ind w:hanging="0" w:end="0"/>
        <w:rPr/>
      </w:pPr>
      <w:r>
        <w:rPr/>
      </w:r>
    </w:p>
    <w:p>
      <w:pPr>
        <w:pStyle w:val="Normal"/>
        <w:rPr/>
      </w:pPr>
      <w:r>
        <w:rPr/>
        <w:tab/>
        <w:t>This letter is submitted by the Department of Water Resources (the “Department”) for your consideration in connection with the determination by the Commission of the “California Procurement Adjustment” mentioned below.  The Department respectfully requests that the Commission determine the California Procurement Adjustment consistent with what the Department believes to be the clear meaning of Assembly Bill No. 1 from the First Extraordinary Session (“ABX1-1”), Chapter 4, Statutes of 2001, as described below.</w:t>
      </w:r>
    </w:p>
    <w:p>
      <w:pPr>
        <w:pStyle w:val="Normal"/>
        <w:rPr/>
      </w:pPr>
      <w:r>
        <w:rPr/>
      </w:r>
    </w:p>
    <w:p>
      <w:pPr>
        <w:pStyle w:val="Normal"/>
        <w:rPr/>
      </w:pPr>
      <w:r>
        <w:rPr/>
        <w:tab/>
        <w:t>Governor Davis signed ABX1-1 on January 31, 2001.  Section 2 of ABX1-1 adds Section 360.5 to the Public Utilities Code, which reads as follows:</w:t>
      </w:r>
    </w:p>
    <w:p>
      <w:pPr>
        <w:pStyle w:val="Normal"/>
        <w:rPr/>
      </w:pPr>
      <w:r>
        <w:rPr/>
      </w:r>
    </w:p>
    <w:p>
      <w:pPr>
        <w:pStyle w:val="quote"/>
        <w:numPr>
          <w:ilvl w:val="1"/>
          <w:numId w:val="9"/>
        </w:numPr>
        <w:rPr/>
      </w:pPr>
      <w:r>
        <w:rPr/>
        <w:t>The commission shall determine that portion of each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  That amount shall be payable, by each electrical corporation, upon receipt by the electrical corporation of the revenues from its retail end use customers, to the [D]epartment for deposit in the Department of Water Resources Electric Power Fund, established by Section 80200 of the Water Code.  The amount determined pursuant to this subdivision shall be known as the Fixed Department of Water Resources Set-Aside.</w:t>
      </w:r>
    </w:p>
    <w:p>
      <w:pPr>
        <w:pStyle w:val="standard"/>
        <w:spacing w:lineRule="auto" w:line="240"/>
        <w:rPr/>
      </w:pPr>
      <w:r>
        <w:rPr/>
        <w:t>For compelling and practical reasons, the Commission’s determination of the California Procurement Adjustment (the “CPA”) is a critical element in the implementation of ABX1-1.  It is the initial step in establishing an important revenue source for the Department in meeting its power purchase responsibilities.  It is also important to any long-term or short-term financing by the Department.</w:t>
      </w:r>
    </w:p>
    <w:p>
      <w:pPr>
        <w:pStyle w:val="standard"/>
        <w:rPr/>
      </w:pPr>
      <w:r>
        <w:rPr/>
      </w:r>
    </w:p>
    <w:p>
      <w:pPr>
        <w:pStyle w:val="standard"/>
        <w:spacing w:lineRule="auto" w:line="240"/>
        <w:rPr/>
      </w:pPr>
      <w:r>
        <w:rPr/>
        <w:t>In their filings in this proceeding, the electrical corporations make the unwarranted assertion that, in enacting ABX1-1, the Legislature not only afforded relief to the utilities with respect to procurement of the so-called “net short,” but that the Legislature also granted them, in effect, a rate increase on the portion of the power which they continue to supply.  The clear meaning of ABX1-1 is very different.  Section 360.5 was intended to address important changes in circumstances that arose from the enactment of ABX1-1.  Through the enactment of Section 360.5, the Legislature recognized that a significant portion of the electrical corporation’s costs intended to be recovered in established generation rates were no longer being borne by the electrical corporations to the extent that the Department purchased the “net short” and that an appropriate adjustment in generation rates was therefore required.  Section 360.5 was also clearly intended to provide financial assurance to the Department for its power purchases pursuant to ABX1-1 by making available to the Department (to the extent of the Commission-determined “Fixed Department of Water Resources Set-Aside”) the portion of the rate applicable to each corporation that was intended to be applied by the corporation to pay for the “net short” being purchased by the Department.</w:t>
      </w:r>
    </w:p>
    <w:p>
      <w:pPr>
        <w:pStyle w:val="standard"/>
        <w:spacing w:lineRule="auto" w:line="240"/>
        <w:rPr/>
      </w:pPr>
      <w:r>
        <w:rPr/>
      </w:r>
    </w:p>
    <w:p>
      <w:pPr>
        <w:pStyle w:val="standard"/>
        <w:spacing w:lineRule="auto" w:line="240"/>
        <w:rPr/>
      </w:pPr>
      <w:r>
        <w:rPr/>
        <w:t>In order to address these changes in circumstances, ABX1-1 envisions that for the Department’s sale of “net short” energy to the customers of each electrical corporation, the Department will initially receive (i) a per-kWh price equal to the applicable generation-related retail rate per kilowatt-hour established for each electrical corporation as in effect on January 5, 2001 plus (ii) a Commission-determined portion of the January 5, 2001 rate for power the electrical corporation continues to sell.  Consequently, ABX1-1 provides that each electrical corporation will continue to receive—on a per-kWh basis—only (i) the components of the January 5, 2001 rate attributed at the time of original rate-making to power that the corporation will continue to sell to its retail end use customers, (</w:t>
      </w:r>
      <w:r>
        <w:rPr>
          <w:i/>
        </w:rPr>
        <w:t>i.e.</w:t>
      </w:r>
      <w:r>
        <w:rPr/>
        <w:t>, native generation, qualifying facility contracts, existing bilateral contracts and ancillary services) plus (ii) a Commission-determined portion of the January 5, 2001 rate for power the electrical corporation continues to sell, (</w:t>
      </w:r>
      <w:r>
        <w:rPr>
          <w:i/>
        </w:rPr>
        <w:t>i.e.</w:t>
      </w:r>
      <w:r>
        <w:rPr/>
        <w:t>, the portion of such rate which is not determined to be part of the Fixed Department of Water Resources Set-Aside.  Nothing in ABX1-1 suggests that the electrical corporations are to retain any revenues attributable to power furnished by the Department and to allow them to do so was certainly not the intent of ABX1-1.</w:t>
      </w:r>
    </w:p>
    <w:p>
      <w:pPr>
        <w:pStyle w:val="standard"/>
        <w:spacing w:lineRule="auto" w:line="240"/>
        <w:rPr/>
      </w:pPr>
      <w:r>
        <w:rPr/>
      </w:r>
    </w:p>
    <w:p>
      <w:pPr>
        <w:pStyle w:val="standard"/>
        <w:spacing w:lineRule="auto" w:line="240"/>
        <w:rPr/>
      </w:pPr>
      <w:r>
        <w:rPr/>
        <w:t>As Section 360.5 states, the CPA is a portion of a “retail rate effective on January 5, 2001.”  Therefore the CPA itself is a rate, to be expressed in terms of cents per kilowatt-hour (as Section 80130 of the Water Code also requires, as discussed below).  Section 360.5 calls for the following determinations and calculations with regard to each electrical corporation:</w:t>
      </w:r>
    </w:p>
    <w:p>
      <w:pPr>
        <w:pStyle w:val="standard"/>
        <w:spacing w:lineRule="auto" w:line="240"/>
        <w:rPr/>
      </w:pPr>
      <w:r>
        <w:rPr/>
      </w:r>
    </w:p>
    <w:p>
      <w:pPr>
        <w:pStyle w:val="standard"/>
        <w:spacing w:lineRule="auto" w:line="240"/>
        <w:ind w:hanging="1440" w:start="2160" w:end="0"/>
        <w:rPr/>
      </w:pPr>
      <w:r>
        <w:rPr/>
        <w:t>First:</w:t>
        <w:tab/>
        <w:t>Identify the generation related component of the corporation’s retail rate that was in effect on January 5, 2001, expressed in terms of cents per kilowatt-hour (the “Total Generation Related Rate”).</w:t>
      </w:r>
    </w:p>
    <w:p>
      <w:pPr>
        <w:pStyle w:val="standard"/>
        <w:spacing w:lineRule="auto" w:line="240"/>
        <w:rPr/>
      </w:pPr>
      <w:r>
        <w:rPr/>
      </w:r>
    </w:p>
    <w:p>
      <w:pPr>
        <w:pStyle w:val="standard"/>
        <w:spacing w:lineRule="auto" w:line="240"/>
        <w:ind w:hanging="1440" w:start="2160" w:end="0"/>
        <w:rPr/>
      </w:pPr>
      <w:r>
        <w:rPr/>
        <w:t>Second:</w:t>
        <w:tab/>
        <w:t xml:space="preserve">Determine the “sum of the costs” (also expressed as a rate, </w:t>
      </w:r>
      <w:r>
        <w:rPr>
          <w:i/>
        </w:rPr>
        <w:t>i.e.</w:t>
      </w:r>
      <w:r>
        <w:rPr/>
        <w:t>, in terms of cents per kilowatt-hour) imputed at the time of rate-making by the Commission in connection with the establishment of the January 5, 2001 rate, to the corporation’s own generation, qualifying facility contracts, existing bilateral contracts, and ancillary services (the “Utility Retained Rate”).</w:t>
      </w:r>
    </w:p>
    <w:p>
      <w:pPr>
        <w:pStyle w:val="standard"/>
        <w:rPr/>
      </w:pPr>
      <w:r>
        <w:rPr/>
      </w:r>
    </w:p>
    <w:p>
      <w:pPr>
        <w:pStyle w:val="standard"/>
        <w:spacing w:lineRule="auto" w:line="240"/>
        <w:ind w:hanging="1440" w:start="2160" w:end="0"/>
        <w:rPr/>
      </w:pPr>
      <w:r>
        <w:rPr/>
        <w:t xml:space="preserve">Third: </w:t>
        <w:tab/>
        <w:t>Determine “the difference between” the Total Generation Related Rate and the Utility Retained Rate.  That is, subtract the Utility Retained Rate from the Total Generation Related Rate to determine the CPA applicable to the electrical corporation.  (Note that, under the language of Section 360.5, since the CPA is “a portion of the Total Generation Related Rate, it cannot be negative.)</w:t>
      </w:r>
    </w:p>
    <w:p>
      <w:pPr>
        <w:pStyle w:val="standard"/>
        <w:rPr/>
      </w:pPr>
      <w:r>
        <w:rPr/>
      </w:r>
    </w:p>
    <w:p>
      <w:pPr>
        <w:pStyle w:val="standard"/>
        <w:spacing w:lineRule="auto" w:line="240"/>
        <w:rPr/>
      </w:pPr>
      <w:r>
        <w:rPr/>
        <w:t xml:space="preserve">Section 360.5 requires that each electrical corporation pay to the Department, upon receipt of payment by each of its end use customers for power sold by the electrical corporation (as opposed to power deemed sold to such user by the Department), all or a portion of an amount equal to the product of (i) the number of such kilowatt-hours purchased by the user from the electrical corporation, multiplied by (ii) the electrical corporation’s CPA.  That portion of the CPA to be paid to the Department is the Fixed Department of Water Resources Set-Aside.  Please note that the Department is </w:t>
      </w:r>
      <w:r>
        <w:rPr>
          <w:u w:val="single"/>
        </w:rPr>
        <w:t>not</w:t>
      </w:r>
      <w:r>
        <w:rPr/>
        <w:t xml:space="preserve"> requesting that the Commission determine the Fixed Department of Water Resources Set-Aside at this time.</w:t>
      </w:r>
    </w:p>
    <w:p>
      <w:pPr>
        <w:pStyle w:val="standard"/>
        <w:rPr/>
      </w:pPr>
      <w:r>
        <w:rPr/>
      </w:r>
    </w:p>
    <w:p>
      <w:pPr>
        <w:pStyle w:val="standard"/>
        <w:spacing w:lineRule="auto" w:line="240"/>
        <w:rPr/>
      </w:pPr>
      <w:r>
        <w:rPr/>
        <w:t>Following is an example which illustrates the CPA calculation methodology required by ABX1-1.  Assume that (i) a hypothetical utility delivers to its retail end use customers 100 kWh annually, half of which is power derived from the utility’s own generation, qualifying facility contracts, existing bilateral contracts, and ancillary services, and the other half of which is “net short” power.  Further assume that the hypothetical utility’s Total Generation Related Rate is 5¢ per kWh, which took into account and consisted of an imputed cost of the utility’s own generation, qualifying facility contracts, existing bilateral contracts, and ancillary services of 2¢ per kWh at the time the Total Generation Related Rate was determined and the cost of the “net short” power of 8¢ per kWh at the time the Total Generation Related Rate was determined.  (The 2¢ per kWh imputed cost of 50 kWh ($1.00) and the 8¢ per kWh imputed cost of the other 50 kWh ($4.00) result in an average blended cost of 5¢ per kWh for all 100 kWh.  In other words, the “Total Generation Related Rate” for the hypothetical utility is 5¢ per kWh.)  In the example, the difference between the 5¢ per kWh Total Generation Related Rate and the 2¢ imputed cost of the power which the utility will continue to sell from the utility’s own generation, qualifying facility contracts, existing bilateral contracts, and ancillary services equals a CPA of 3¢ per kWh.  In this example, the CPA of 3¢ per kWh would be subject to further allocation by the Commission to determine the Fixed Department of Water Resources Set-Aside.</w:t>
      </w:r>
    </w:p>
    <w:p>
      <w:pPr>
        <w:pStyle w:val="standard"/>
        <w:rPr/>
      </w:pPr>
      <w:r>
        <w:rPr/>
      </w:r>
    </w:p>
    <w:p>
      <w:pPr>
        <w:pStyle w:val="standard"/>
        <w:spacing w:lineRule="auto" w:line="240"/>
        <w:rPr/>
      </w:pPr>
      <w:r>
        <w:rPr/>
        <w:t>Confirmation that the Legislature’s intended construction of Section 360.5 is consistent with the CPA calculation methodology described above can be found in Section 80114 of the Water Code, enacted as part of ABX1-1, which provides as follows:</w:t>
      </w:r>
    </w:p>
    <w:p>
      <w:pPr>
        <w:pStyle w:val="standard"/>
        <w:rPr/>
      </w:pPr>
      <w:r>
        <w:rPr/>
      </w:r>
    </w:p>
    <w:p>
      <w:pPr>
        <w:pStyle w:val="quote"/>
        <w:rPr/>
      </w:pPr>
      <w:r>
        <w:rPr/>
        <w:t>80114.  The commission shall take those actions necessary to ensure that all, or a portion of, the component rates that are available to electrical corporations for the purchase of their net short position of electricity are used to recover the revenue requirements established pursuant to this division.</w:t>
      </w:r>
    </w:p>
    <w:p>
      <w:pPr>
        <w:pStyle w:val="standard"/>
        <w:spacing w:lineRule="auto" w:line="240"/>
        <w:rPr/>
      </w:pPr>
      <w:r>
        <w:rPr/>
        <w:t>Consistent with the language of ABX1-1, since the January 5, 2001 retail rate—and, therefore, the components of the CPA—took into account historical costs, the CPA is fixed and immutable.  It is not affected by any change in the costs of any generation resource of any electrical corporation that was not reflected in the January 5, 2001 rate at the time such rate was originally determined.  On the other hand, the calculation of the CPA, in and of itself, does not alter the right of the Department to recover any portion of its revenue requirements which is not fully recovered through the application of the portion of the CPA equal to the Fixed Department of Water Resources Set-Aside (nor does it affect any right of the Commission to allow additional cost recovery to the utilities for the portion of the power for which they remain responsible, subject, to applicable law and Commission proceedings).  Further, the calculation of the CPA does not quantify the division of the CPA as between the Department and any electrical corporation (</w:t>
      </w:r>
      <w:r>
        <w:rPr>
          <w:i/>
        </w:rPr>
        <w:t>i.e.</w:t>
      </w:r>
      <w:r>
        <w:rPr/>
        <w:t>, the determination of the Fixed Department of Water Resources Set Aside).  The Department requests that Commission effectuate that division through a later determination and requests that the Commission’s determination at this time be limited to the determination of the California Procurement Adjustment.</w:t>
      </w:r>
    </w:p>
    <w:p>
      <w:pPr>
        <w:pStyle w:val="standard"/>
        <w:rPr/>
      </w:pPr>
      <w:r>
        <w:rPr/>
      </w:r>
    </w:p>
    <w:p>
      <w:pPr>
        <w:pStyle w:val="standard"/>
        <w:spacing w:lineRule="auto" w:line="240"/>
        <w:rPr/>
      </w:pPr>
      <w:r>
        <w:rPr/>
        <w:t>ABX1-1 also enacted Division 27 (commencing with Section 80000) of the Water Code.  Division 27 established in the State Treasure the Department of Water Resources Electric Power Fund (the “Fund”) and authorized the Department to issue bonds, notes, and other evidences of indebtedness (collectively, “Bonds”) for certain limited purposes, including:</w:t>
        <w:br/>
      </w:r>
      <w:r>
        <w:br w:type="page"/>
      </w:r>
    </w:p>
    <w:p>
      <w:pPr>
        <w:pStyle w:val="standard"/>
        <w:numPr>
          <w:ilvl w:val="0"/>
          <w:numId w:val="10"/>
        </w:numPr>
        <w:spacing w:lineRule="auto" w:line="240"/>
        <w:rPr/>
      </w:pPr>
      <w:r>
        <w:rPr/>
        <w:t>paying the costs of electric power and transmission, scheduling, and other related expenses, or to reimburse expenditures from the Fund for those purposes.</w:t>
        <w:br/>
      </w:r>
    </w:p>
    <w:p>
      <w:pPr>
        <w:pStyle w:val="standard"/>
        <w:numPr>
          <w:ilvl w:val="0"/>
          <w:numId w:val="10"/>
        </w:numPr>
        <w:spacing w:lineRule="auto" w:line="240"/>
        <w:rPr/>
      </w:pPr>
      <w:r>
        <w:rPr/>
        <w:t>repaying to the General Fund certain advances made to the Department for the power purchase program; and</w:t>
        <w:br/>
      </w:r>
    </w:p>
    <w:p>
      <w:pPr>
        <w:pStyle w:val="standard"/>
        <w:numPr>
          <w:ilvl w:val="0"/>
          <w:numId w:val="10"/>
        </w:numPr>
        <w:spacing w:lineRule="auto" w:line="240"/>
        <w:rPr/>
      </w:pPr>
      <w:r>
        <w:rPr/>
        <w:t>establishing or maintaining reserves in connection with the Bonds and paying certain costs incidental to the issuance, payment and security of the Bonds.</w:t>
      </w:r>
    </w:p>
    <w:p>
      <w:pPr>
        <w:pStyle w:val="standard"/>
        <w:rPr/>
      </w:pPr>
      <w:r>
        <w:rPr/>
      </w:r>
    </w:p>
    <w:p>
      <w:pPr>
        <w:pStyle w:val="standard"/>
        <w:spacing w:lineRule="auto" w:line="240"/>
        <w:rPr/>
      </w:pPr>
      <w:r>
        <w:rPr/>
        <w:t>Section 80130 of the Water Code (the “Bond Cap”), enacted as part of ABX1-1, provides in relevant part as follows (emphasis added):</w:t>
      </w:r>
    </w:p>
    <w:p>
      <w:pPr>
        <w:pStyle w:val="standard"/>
        <w:spacing w:lineRule="auto" w:line="240"/>
        <w:rPr/>
      </w:pPr>
      <w:r>
        <w:rPr/>
      </w:r>
    </w:p>
    <w:p>
      <w:pPr>
        <w:pStyle w:val="quote"/>
        <w:rPr/>
      </w:pPr>
      <w:r>
        <w:rPr/>
        <w:t>In no event shall the [D]epartment authorize the issuance of bonds … in an aggregate amount greater than the amount calculated by multiplying by a factor of four the annual revenues generated by the California Procurement Adjustment, as determined by the [C]ommission pursuant to Section 360.5.</w:t>
      </w:r>
    </w:p>
    <w:p>
      <w:pPr>
        <w:pStyle w:val="standard"/>
        <w:spacing w:lineRule="auto" w:line="240"/>
        <w:rPr/>
      </w:pPr>
      <w:r>
        <w:rPr/>
        <w:t>During the Legislature’s consideration of ABX1-1, the bill’s author communicated to the Legislature his expectation that the amount of the Bond Cap that would result from the application of Section 80130 would approximate $10 billion.  Many Legislators cited the $10 billion figure during the floor debate of ABX1-1.  The phrase “generated by” – used in Section 80130—is further evidence that the CPA is a rate to be expressed in terms of cents per kilowatt-hour and not a dollar amount of revenues.  Consistent with Section 80130 of ABX1-1, the Department will determine the Bond Cap by calculating the dollar amount of the annual revenues which would be generated by the applicable CPA (as determined by the Commission) in each electrical corporation’s service area, adding such dollar amounts and multiplying the resulting sum by four.</w:t>
      </w:r>
    </w:p>
    <w:p>
      <w:pPr>
        <w:pStyle w:val="standard"/>
        <w:rPr/>
      </w:pPr>
      <w:r>
        <w:rPr/>
      </w:r>
    </w:p>
    <w:p>
      <w:pPr>
        <w:pStyle w:val="standard"/>
        <w:spacing w:lineRule="auto" w:line="240"/>
        <w:rPr/>
      </w:pPr>
      <w:r>
        <w:rPr/>
        <w:t>The Department requests that the Commission (i) determine, as part of an order, the CPA of each electrical corporation pursuant to Section 360.5 and in accordance with the methodology discussed above, and (ii) acknowledge that the Department may rely upon such determination for the purposes of Section 80130 of the Water Code.</w:t>
      </w:r>
    </w:p>
    <w:p>
      <w:pPr>
        <w:pStyle w:val="standard"/>
        <w:spacing w:lineRule="auto" w:line="240"/>
        <w:rPr/>
      </w:pPr>
      <w:r>
        <w:rPr/>
      </w:r>
    </w:p>
    <w:p>
      <w:pPr>
        <w:pStyle w:val="standard"/>
        <w:spacing w:lineRule="auto" w:line="240"/>
        <w:rPr/>
      </w:pPr>
      <w:r>
        <w:rPr/>
        <w:t>In addition, we request that the order provide that, upon its acceptance by the Department in writing, the order will constitute an agreement between the Department and the Commission within the meaning of Section 80110 of the Water Code and that, pursuant to Section 80110, the order will have the full force and effect of a financing order.</w:t>
      </w:r>
    </w:p>
    <w:p>
      <w:pPr>
        <w:pStyle w:val="standard"/>
        <w:rPr/>
      </w:pPr>
      <w:r>
        <w:rPr/>
      </w:r>
    </w:p>
    <w:p>
      <w:pPr>
        <w:pStyle w:val="standard"/>
        <w:spacing w:lineRule="auto" w:line="240"/>
        <w:rPr/>
      </w:pPr>
      <w:r>
        <w:rPr/>
        <w:t>Thank you for your assistance and attention to this important matter.  We will be submitting additional information and requests to the Commission relating to the Department’s power purchase program and financing plans and appreciate your continuing cooperation.</w:t>
      </w:r>
    </w:p>
    <w:p>
      <w:pPr>
        <w:pStyle w:val="standard"/>
        <w:rPr/>
      </w:pPr>
      <w:r>
        <w:rPr/>
      </w:r>
    </w:p>
    <w:p>
      <w:pPr>
        <w:pStyle w:val="standard"/>
        <w:ind w:hanging="0" w:end="0"/>
        <w:rPr/>
      </w:pPr>
      <w:r>
        <w:rPr/>
        <w:t>Sincerely,</w:t>
      </w:r>
    </w:p>
    <w:p>
      <w:pPr>
        <w:pStyle w:val="standard"/>
        <w:rPr/>
      </w:pPr>
      <w:r>
        <w:rPr/>
      </w:r>
    </w:p>
    <w:p>
      <w:pPr>
        <w:pStyle w:val="standard"/>
        <w:ind w:hanging="0" w:end="0"/>
        <w:rPr/>
      </w:pPr>
      <w:r>
        <w:rPr/>
        <w:t>/s/  THOMAS M. HANNIGAN</w:t>
      </w:r>
    </w:p>
    <w:p>
      <w:pPr>
        <w:pStyle w:val="standard"/>
        <w:spacing w:lineRule="auto" w:line="240"/>
        <w:ind w:hanging="0" w:end="0"/>
        <w:rPr/>
      </w:pPr>
      <w:r>
        <w:rPr/>
        <w:t>Thomas M. Hannigan</w:t>
      </w:r>
    </w:p>
    <w:p>
      <w:pPr>
        <w:pStyle w:val="standard"/>
        <w:spacing w:lineRule="auto" w:line="240"/>
        <w:ind w:hanging="0" w:end="0"/>
        <w:rPr/>
      </w:pPr>
      <w:r>
        <w:rPr/>
        <w:t>Director</w: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jc w:val="center"/>
        <w:rPr>
          <w:b/>
        </w:rPr>
      </w:pPr>
      <w:r>
        <w:rPr>
          <w:b/>
        </w:rPr>
        <w:t>(END OF ATTACHMENT A)</w:t>
      </w:r>
    </w:p>
    <w:p>
      <w:pPr>
        <w:pStyle w:val="standard"/>
        <w:rPr>
          <w:b/>
          <w:lang w:val="en-CA" w:eastAsia="en-CA"/>
        </w:rPr>
      </w:pPr>
      <w:r>
        <w:rPr>
          <w:b/>
          <w:lang w:val="en-CA" w:eastAsia="en-CA"/>
        </w:rPr>
        <w:object w:dxaOrig="14446" w:dyaOrig="12271">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position:absolute;margin-left:0pt;margin-top:-142.05pt;width:612pt;height:503.75pt;mso-wrap-distance-left:9.05pt;mso-wrap-distance-right:9.05pt;mso-position-horizontal-relative:text;mso-position-vertical-relative:text" filled="f" o:ole="">
            <v:imagedata r:id="rId16" o:title=""/>
            <w10:wrap type="topAndBottom"/>
          </v:shape>
          <o:OLEObject Type="Embed" ProgID="Excel.Sheet.12" ShapeID="ole_rId15" DrawAspect="Content" ObjectID="_543923767" r:id="rId15"/>
        </w:object>
      </w:r>
    </w:p>
    <w:sectPr>
      <w:headerReference w:type="default" r:id="rId17"/>
      <w:headerReference w:type="first" r:id="rId18"/>
      <w:footerReference w:type="default" r:id="rId19"/>
      <w:footerReference w:type="first" r:id="rId20"/>
      <w:footnotePr>
        <w:numFmt w:val="decimal"/>
      </w:footnotePr>
      <w:type w:val="nextPage"/>
      <w:pgSz w:orient="landscape" w:w="15840" w:h="12240"/>
      <w:pgMar w:left="1152" w:right="1152"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93603</w:t>
    </w: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93603</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 xml:space="preserve">CPA amounts will be used to determine the amount of the bonds the Department of Water Resources can issue to support its power purchases.   In addition, the Commission may order that a portion of the revenues generated by the CPA be paid to DWR as partial reimbursement for its power purchases.  That portion is the “Fixed DWR Set-Aside.”   </w:t>
      </w:r>
    </w:p>
  </w:footnote>
  <w:footnote w:id="3">
    <w:p>
      <w:pPr>
        <w:pStyle w:val="FootnoteText"/>
        <w:spacing w:before="0" w:after="240"/>
        <w:rPr/>
      </w:pPr>
      <w:r>
        <w:rPr>
          <w:rStyle w:val="FootnoteCharacters"/>
        </w:rPr>
        <w:footnoteRef/>
      </w:r>
      <w:r>
        <w:rPr/>
        <w:t xml:space="preserve">  </w:t>
      </w:r>
      <w:r>
        <w:rPr/>
        <w:t>Water Code Section 80002.5.</w:t>
      </w:r>
    </w:p>
  </w:footnote>
  <w:footnote w:id="4">
    <w:p>
      <w:pPr>
        <w:pStyle w:val="FootnoteText"/>
        <w:spacing w:before="0" w:after="240"/>
        <w:rPr/>
      </w:pPr>
      <w:r>
        <w:rPr>
          <w:rStyle w:val="FootnoteCharacters"/>
        </w:rPr>
        <w:footnoteRef/>
      </w:r>
      <w:r>
        <w:rPr/>
        <w:t xml:space="preserve">  </w:t>
      </w:r>
      <w:r>
        <w:rPr/>
        <w:t>In this decision, we use the term utilities interchangeably with electrical corporations.</w:t>
      </w:r>
    </w:p>
  </w:footnote>
  <w:footnote w:id="5">
    <w:p>
      <w:pPr>
        <w:pStyle w:val="FootnoteText"/>
        <w:spacing w:before="0" w:after="240"/>
        <w:rPr/>
      </w:pPr>
      <w:r>
        <w:rPr>
          <w:rStyle w:val="FootnoteCharacters"/>
        </w:rPr>
        <w:footnoteRef/>
      </w:r>
      <w:r>
        <w:rPr/>
        <w:t xml:space="preserve">  </w:t>
      </w:r>
      <w:r>
        <w:rPr/>
        <w:t>Water Code Section 80002.5.</w:t>
      </w:r>
    </w:p>
  </w:footnote>
  <w:footnote w:id="6">
    <w:p>
      <w:pPr>
        <w:pStyle w:val="FootnoteText"/>
        <w:spacing w:before="0" w:after="240"/>
        <w:rPr/>
      </w:pPr>
      <w:r>
        <w:rPr>
          <w:rStyle w:val="FootnoteCharacters"/>
        </w:rPr>
        <w:footnoteRef/>
      </w:r>
      <w:r>
        <w:rPr/>
        <w:t xml:space="preserve">  </w:t>
      </w:r>
      <w:r>
        <w:rPr/>
        <w:t>The following attended these workshops:  PG&amp;E, Edison, San Diego Gas &amp; Electric Company (SDG&amp;E), Office of Rateypayers Advocates, Department of Water Resources (present only on the first day of workshop), The Utility Reform Network, ENRON Energy Services, AES New Energy, Inc., CLECA, Calpine Corporation, Federal Executive Agencies, Aglet Consumer Alliance, CMTA, Turlock Irrigation District, Watson Cogeneration Company, IEP, California Farm Bureau Federation, New West Energy, Cal-Pine CAL-SLA, Pacificorp, Dynergy, CAC/ EPUC, and JDRP.</w:t>
      </w:r>
    </w:p>
  </w:footnote>
  <w:footnote w:id="7">
    <w:p>
      <w:pPr>
        <w:pStyle w:val="FootnoteText"/>
        <w:spacing w:before="0" w:after="240"/>
        <w:rPr/>
      </w:pPr>
      <w:r>
        <w:rPr>
          <w:rStyle w:val="FootnoteCharacters"/>
        </w:rPr>
        <w:footnoteRef/>
      </w:r>
      <w:r>
        <w:rPr/>
        <w:t xml:space="preserve">  </w:t>
      </w:r>
      <w:r>
        <w:rPr/>
        <w:t>As opposed to power deemed sold to an end user by the DWR.</w:t>
      </w:r>
    </w:p>
  </w:footnote>
  <w:footnote w:id="8">
    <w:p>
      <w:pPr>
        <w:pStyle w:val="FootnoteText"/>
        <w:spacing w:before="0" w:after="240"/>
        <w:rPr/>
      </w:pPr>
      <w:r>
        <w:rPr>
          <w:rStyle w:val="FootnoteCharacters"/>
        </w:rPr>
        <w:footnoteRef/>
      </w:r>
      <w:r>
        <w:rPr/>
        <w:t xml:space="preserve">  </w:t>
      </w:r>
      <w:r>
        <w:rPr/>
        <w:t>DWR’s letter does not request a determination of the Fixed DWR Set-Aside.</w:t>
      </w:r>
    </w:p>
  </w:footnote>
  <w:footnote w:id="9">
    <w:p>
      <w:pPr>
        <w:pStyle w:val="FootnoteText"/>
        <w:rPr/>
      </w:pPr>
      <w:r>
        <w:rPr>
          <w:rStyle w:val="FootnoteCharacters"/>
        </w:rPr>
        <w:footnoteRef/>
      </w:r>
      <w:r>
        <w:rPr/>
        <w:t xml:space="preserve">  </w:t>
      </w:r>
      <w:r>
        <w:rPr/>
        <w:t xml:space="preserve">Edison states:  “CPA … sets forth the amount that California’s Investor-Owned Utilities (IOUs) have available in revenues to send to [DWR].”  Edison’s February 23, 2001, Proposal for an Interim CPA (entitled “Testimony in Compliance with the ALJ’s Procedural Schedule” p. 1, section B.1.  </w:t>
      </w:r>
    </w:p>
    <w:p>
      <w:pPr>
        <w:pStyle w:val="FootnoteText"/>
        <w:spacing w:before="0" w:after="240"/>
        <w:rPr/>
      </w:pPr>
      <w:r>
        <w:rPr/>
        <w:t xml:space="preserve">SDG&amp;E asserts:  “CPA will determine the dollar amount to be provided to [DWR] out of the net revenues received from SDG&amp;E’s retail rates.”  SDG&amp;E February 23, 2001 Proposal for an Interim CPA (entitled preliminary statement) at section labeled “A. </w:t>
      </w:r>
      <w:r>
        <w:rPr>
          <w:u w:val="single"/>
        </w:rPr>
        <w:t>Purpose</w:t>
      </w:r>
      <w:r>
        <w:rPr/>
        <w:t>.”</w:t>
      </w:r>
    </w:p>
  </w:footnote>
  <w:footnote w:id="10">
    <w:p>
      <w:pPr>
        <w:pStyle w:val="FootnoteText"/>
        <w:spacing w:before="0" w:after="240"/>
        <w:rPr/>
      </w:pPr>
      <w:r>
        <w:rPr>
          <w:rStyle w:val="FootnoteCharacters"/>
        </w:rPr>
        <w:footnoteRef/>
      </w:r>
      <w:r>
        <w:rPr/>
        <w:t xml:space="preserve">  </w:t>
      </w:r>
      <w:r>
        <w:rPr/>
        <w:t>In fact, once the CPA is set, its is the Fixed DWR Set Aside that is used to allocate the portion of the CPA that flows to DWR.  We do not address the FDWRSA at this time.</w:t>
      </w:r>
    </w:p>
  </w:footnote>
  <w:footnote w:id="11">
    <w:p>
      <w:pPr>
        <w:pStyle w:val="FootnoteText"/>
        <w:spacing w:before="0" w:after="240"/>
        <w:rPr/>
      </w:pPr>
      <w:r>
        <w:rPr>
          <w:rStyle w:val="FootnoteCharacters"/>
        </w:rPr>
        <w:footnoteRef/>
      </w:r>
      <w:r>
        <w:rPr/>
        <w:t xml:space="preserve">  </w:t>
      </w:r>
      <w:r>
        <w:rPr/>
        <w:t>As Aglet points out, Water Code Section 80002 states that “Nothing in this division shall be construed to reduce or modify any electrical corporation’s obligation to serve.”</w:t>
      </w:r>
    </w:p>
  </w:footnote>
  <w:footnote w:id="12">
    <w:p>
      <w:pPr>
        <w:pStyle w:val="FootnoteText"/>
        <w:spacing w:before="0" w:after="240"/>
        <w:rPr/>
      </w:pPr>
      <w:r>
        <w:rPr>
          <w:rStyle w:val="FootnoteCharacters"/>
        </w:rPr>
        <w:footnoteRef/>
      </w:r>
      <w:r>
        <w:rPr/>
        <w:t xml:space="preserve">  </w:t>
      </w:r>
      <w:r>
        <w:rPr/>
        <w:t>In addition to the self-executing nature of Water Code Section 80112, we also premise our action on Water Code Section 80002 (Section 80002).  Section 80002 states that nothing in the section should be construed to obligate DWR for procurement cost obligations of SDG&amp;E, PG&amp;E and Edison that may have existed prior to the effective date of AB 1X.  The interpretations SDG&amp;E, PG&amp;E and Edison proffer create a risk of imposing such liability upon DWR depending on the use of the revenues the utilities propose improperly to shift to themselves.  Section 80002 directs the Commission to issue orders necessary to carry out the section.</w:t>
      </w:r>
    </w:p>
  </w:footnote>
  <w:footnote w:id="13">
    <w:p>
      <w:pPr>
        <w:pStyle w:val="FootnoteText"/>
        <w:spacing w:before="0" w:after="240"/>
        <w:rPr/>
      </w:pPr>
      <w:r>
        <w:rPr>
          <w:rStyle w:val="FootnoteCharacters"/>
        </w:rPr>
        <w:footnoteRef/>
      </w:r>
      <w:r>
        <w:rPr/>
        <w:t xml:space="preserve">  </w:t>
      </w:r>
      <w:r>
        <w:rPr/>
        <w:t>Pending transfer to DWR, such money must be held in trust.</w:t>
      </w:r>
    </w:p>
  </w:footnote>
  <w:footnote w:id="14">
    <w:p>
      <w:pPr>
        <w:pStyle w:val="FootnoteText"/>
        <w:spacing w:before="0" w:after="240"/>
        <w:rPr/>
      </w:pPr>
      <w:r>
        <w:rPr>
          <w:rStyle w:val="FootnoteCharacters"/>
        </w:rPr>
        <w:footnoteRef/>
      </w:r>
      <w:r>
        <w:rPr/>
        <w:t xml:space="preserve">  </w:t>
      </w:r>
      <w:r>
        <w:rPr/>
        <w:t>For PG&amp;E this includes the charge called “Reliability Services.”</w:t>
      </w:r>
    </w:p>
  </w:footnote>
  <w:footnote w:id="15">
    <w:p>
      <w:pPr>
        <w:pStyle w:val="FootnoteText"/>
        <w:spacing w:before="0" w:after="240"/>
        <w:rPr/>
      </w:pPr>
      <w:r>
        <w:rPr>
          <w:rStyle w:val="FootnoteCharacters"/>
        </w:rPr>
        <w:footnoteRef/>
      </w:r>
      <w:r>
        <w:rPr/>
        <w:t xml:space="preserve">  </w:t>
      </w:r>
      <w:r>
        <w:rPr/>
        <w:t>This charge is sometimes referred to as the Trust Transfer Amount.</w:t>
      </w:r>
    </w:p>
  </w:footnote>
  <w:footnote w:id="16">
    <w:p>
      <w:pPr>
        <w:pStyle w:val="FootnoteText"/>
        <w:spacing w:before="0" w:after="240"/>
        <w:rPr/>
      </w:pPr>
      <w:r>
        <w:rPr>
          <w:rStyle w:val="FootnoteCharacters"/>
        </w:rPr>
        <w:footnoteRef/>
      </w:r>
      <w:r>
        <w:rPr/>
        <w:t xml:space="preserve">  </w:t>
      </w:r>
      <w:r>
        <w:rPr/>
        <w:t>Attachment B contains a spreadsheet summarizing our results.  The workpapers for Edison, PG&amp;E, and SDG&amp;E were e</w:t>
        <w:noBreakHyphen/>
        <w:t>mailed to all parties on February 9, 2001.</w:t>
      </w:r>
    </w:p>
  </w:footnote>
  <w:footnote w:id="17">
    <w:p>
      <w:pPr>
        <w:pStyle w:val="FootnoteText"/>
        <w:spacing w:before="0" w:after="240"/>
        <w:rPr/>
      </w:pPr>
      <w:r>
        <w:rPr>
          <w:rStyle w:val="FootnoteCharacters"/>
        </w:rPr>
        <w:footnoteRef/>
      </w:r>
      <w:r>
        <w:rPr/>
        <w:t xml:space="preserve">  </w:t>
      </w:r>
      <w:r>
        <w:rPr/>
        <w:t xml:space="preserve">Some of the utilities’ proposals conclude that CPA may sometimes be a negative number.  Determining CPA in a manner that yields a negative number is also inconsistent with Water Code Section 80130.   </w:t>
      </w:r>
    </w:p>
  </w:footnote>
  <w:footnote w:id="18">
    <w:p>
      <w:pPr>
        <w:pStyle w:val="FootnoteText"/>
        <w:spacing w:before="0" w:after="240"/>
        <w:rPr/>
      </w:pPr>
      <w:r>
        <w:rPr>
          <w:rStyle w:val="FootnoteCharacters"/>
        </w:rPr>
        <w:footnoteRef/>
      </w:r>
      <w:r>
        <w:rPr/>
        <w:t xml:space="preserve">  </w:t>
      </w:r>
      <w:r>
        <w:rPr/>
        <w:t>For the purpose of calculating the CPA, we use total sales to refer to sales by the company and DWR to the utility’s bundled service customers, which excludes sales to direct access customers.</w:t>
      </w:r>
    </w:p>
  </w:footnote>
  <w:footnote w:id="19">
    <w:p>
      <w:pPr>
        <w:pStyle w:val="FootnoteText"/>
        <w:spacing w:before="0" w:after="240"/>
        <w:rPr/>
      </w:pPr>
      <w:r>
        <w:rPr>
          <w:rStyle w:val="FootnoteCharacters"/>
        </w:rPr>
        <w:footnoteRef/>
      </w:r>
      <w:r>
        <w:rPr/>
        <w:t xml:space="preserve">  </w:t>
      </w:r>
      <w:r>
        <w:rPr/>
        <w:t>The utilities’ workshop workpapers were submitted to the service list in A.00</w:t>
        <w:noBreakHyphen/>
        <w:t>11</w:t>
        <w:noBreakHyphen/>
        <w:t>038 et al. on February 9, 2001.</w:t>
      </w:r>
    </w:p>
  </w:footnote>
  <w:footnote w:id="20">
    <w:p>
      <w:pPr>
        <w:pStyle w:val="FootnoteText"/>
        <w:spacing w:before="0" w:after="240"/>
        <w:rPr/>
      </w:pPr>
      <w:r>
        <w:rPr>
          <w:rStyle w:val="FootnoteCharacters"/>
        </w:rPr>
        <w:footnoteRef/>
      </w:r>
      <w:r>
        <w:rPr/>
        <w:t xml:space="preserve">  </w:t>
      </w:r>
      <w:r>
        <w:rPr/>
        <w:t xml:space="preserve">The attached workpapers from SDG&amp;E properly exclude these direct access figures.  Those originally submitted by Edison and PG&amp;E still include some direct access figures, but are being revised. </w:t>
      </w:r>
    </w:p>
  </w:footnote>
  <w:footnote w:id="21">
    <w:p>
      <w:pPr>
        <w:pStyle w:val="FootnoteText"/>
        <w:spacing w:before="0" w:after="240"/>
        <w:rPr/>
      </w:pPr>
      <w:r>
        <w:rPr>
          <w:rStyle w:val="FootnoteCharacters"/>
        </w:rPr>
        <w:footnoteRef/>
      </w:r>
      <w:r>
        <w:rPr/>
        <w:t xml:space="preserve">  </w:t>
      </w:r>
      <w:r>
        <w:rPr/>
        <w:t>Elsewhere in this decision we have calculated the company-wide average generation-related rate for each utility.  Until such time as schedule specific generation-related rates are calculated, the utilities will use the company-wide average generation-related rate for determining the sums they must transfer to DWR.</w:t>
      </w:r>
    </w:p>
  </w:footnote>
  <w:footnote w:id="22">
    <w:p>
      <w:pPr>
        <w:pStyle w:val="FootnoteText"/>
        <w:spacing w:before="0" w:after="240"/>
        <w:rPr/>
      </w:pPr>
      <w:r>
        <w:rPr>
          <w:rStyle w:val="FootnoteCharacters"/>
        </w:rPr>
        <w:footnoteRef/>
      </w:r>
      <w:r>
        <w:rPr/>
        <w:t xml:space="preserve"> </w:t>
      </w:r>
      <w:r>
        <w:rPr/>
        <w:t xml:space="preserve">The utilities typically use a 30-day billing period.  Thus, on average, there was approximately 15 days from the date the electric service is provided until the bill is rendered.  Utility bills are generally due less than 30 days after being rendered.  Thus, on average, the utilities should receive revenues for the power supplied by DWR within 45 days after the power is delivered to retail end use customers. </w:t>
      </w:r>
    </w:p>
  </w:footnote>
  <w:footnote w:id="23">
    <w:p>
      <w:pPr>
        <w:pStyle w:val="FootnoteText"/>
        <w:spacing w:before="0" w:after="240"/>
        <w:rPr/>
      </w:pPr>
      <w:r>
        <w:rPr>
          <w:rStyle w:val="FootnoteCharacters"/>
        </w:rPr>
        <w:footnoteRef/>
      </w:r>
      <w:r>
        <w:rPr/>
        <w:t xml:space="preserve">  </w:t>
      </w:r>
      <w:r>
        <w:rPr/>
        <w:t>For example, if on a given day a particular utility generates or purchases (from QFs and others) 750 megawatt hours of power and distributes to its customers a further 250 megawatt hours of DWR power for a total of 1,000 MWh, the percentage of DWR power supplied for that day would be 25%.</w:t>
      </w:r>
    </w:p>
  </w:footnote>
  <w:footnote w:id="24">
    <w:p>
      <w:pPr>
        <w:pStyle w:val="FootnoteText"/>
        <w:spacing w:before="0" w:after="240"/>
        <w:rPr/>
      </w:pPr>
      <w:r>
        <w:rPr>
          <w:rStyle w:val="FootnoteCharacters"/>
        </w:rPr>
        <w:footnoteRef/>
      </w:r>
      <w:r>
        <w:rPr>
          <w:sz w:val="32"/>
        </w:rPr>
        <w:t xml:space="preserve">  </w:t>
      </w:r>
      <w:r>
        <w:rPr/>
        <w:t>These amounts were derived from the company-wide average generation-related rates adopted above.  D.01-01-061 ordered the “net amount charged for electric energy” to be transferred to DWR for the kWhs DWR supplied to Edison’s and PG&amp;E’s end-use customers.  This net amount is essentially the same as the generation-related rates adopted above, except that it did not include the 1-cent/kWh surcharge.  Accordingly, we have reduced the adopted company-wide average generation-related rates by 1</w:t>
        <w:noBreakHyphen/>
        <w:t>cent/kWh to determine the amount per kWh to be transferred to DWR pursuant to D.01-01-061.  We remind Edison and PG&amp;E that D.01-01-061 covered only the electricity supplied pursuant to SBX1 7.  Thus, all other amounts to be transferred to DWR pursuant to today’s decision include the 1-cent/kWh surcharge.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COM/LYN/sid</w:t>
      <w:tab/>
      <w:tab/>
    </w:r>
    <w:r>
      <w:rPr>
        <w:rFonts w:cs="Helvetica;Arial" w:ascii="Helvetica;Arial" w:hAnsi="Helvetica;Arial"/>
        <w:b/>
        <w:sz w:val="36"/>
      </w:rPr>
      <w:t>DRAFT</w:t>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COM/LYN/sid</w:t>
      <w:tab/>
      <w:tab/>
    </w:r>
    <w:r>
      <w:rPr>
        <w:rFonts w:cs="Helvetica;Arial" w:ascii="Helvetica;Arial" w:hAnsi="Helvetica;Arial"/>
        <w:b/>
        <w:sz w:val="36"/>
      </w:rPr>
      <w:t>DRAFT</w:t>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Helvetica;Arial" w:hAnsi="Helvetica;Arial" w:cs="Helvetica;Arial"/>
        <w:b/>
        <w:sz w:val="36"/>
      </w:rPr>
    </w:pPr>
    <w:r>
      <w:rPr/>
      <w:t>A.00-11-038 et al.  COM/LYN/sid</w:t>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COM/LYN/sid</w:t>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7"/>
      <w:numFmt w:val="decimal"/>
      <w:lvlText w:val="%1."/>
      <w:lvlJc w:val="start"/>
      <w:pPr>
        <w:tabs>
          <w:tab w:val="num" w:pos="720"/>
        </w:tabs>
        <w:ind w:start="0" w:hanging="0"/>
      </w:pPr>
      <w:rPr/>
    </w:lvl>
  </w:abstractNum>
  <w:abstractNum w:abstractNumId="3">
    <w:lvl w:ilvl="0">
      <w:start w:val="1"/>
      <w:numFmt w:val="decimal"/>
      <w:lvlText w:val="%1."/>
      <w:lvlJc w:val="start"/>
      <w:pPr>
        <w:tabs>
          <w:tab w:val="num" w:pos="0"/>
        </w:tabs>
        <w:ind w:start="0" w:hanging="0"/>
      </w:pPr>
    </w:lvl>
  </w:abstractNum>
  <w:abstractNum w:abstractNumId="4">
    <w:lvl w:ilvl="0">
      <w:start w:val="1"/>
      <w:numFmt w:val="lowerLetter"/>
      <w:lvlText w:val="%1."/>
      <w:lvlJc w:val="start"/>
      <w:pPr>
        <w:tabs>
          <w:tab w:val="num" w:pos="360"/>
        </w:tabs>
        <w:ind w:start="0" w:hanging="0"/>
      </w:pPr>
      <w:rPr>
        <w:sz w:val="26"/>
        <w:rFonts w:ascii="PALATINO;Book Antiqua" w:hAnsi="PALATINO;Book Antiqua" w:cs="PALATINO;Book Antiqua"/>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0"/>
        </w:tabs>
        <w:ind w:start="0" w:hanging="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0"/>
        </w:tabs>
        <w:ind w:start="0" w:hanging="0"/>
      </w:pPr>
    </w:lvl>
  </w:abstractNum>
  <w:abstractNum w:abstractNumId="9">
    <w:lvl w:ilvl="0">
      <w:start w:val="360"/>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7"/>
      <w:numFmt w:val="decimal"/>
      <w:lvlText w:val="%1."/>
      <w:lvlJc w:val="start"/>
      <w:pPr>
        <w:tabs>
          <w:tab w:val="num" w:pos="0"/>
        </w:tabs>
        <w:ind w:start="0" w:hanging="0"/>
      </w:pPr>
      <w:rPr/>
    </w:lvl>
  </w:abstractNum>
  <w:abstractNum w:abstractNumId="1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4"/>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Arial" w:hAnsi="Helvetica;Arial" w:cs="Helvetica;Arial"/>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Arial" w:hAnsi="Helvetica;Arial" w:cs="Helvetica;Arial"/>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Arial" w:hAnsi="Helvetica;Arial" w:cs="Helvetica;Arial"/>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Arial" w:hAnsi="Helvetica;Arial" w:cs="Helvetica;Arial"/>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Arial" w:hAnsi="Helvetica;Arial" w:cs="Helvetica;Arial"/>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Arial" w:hAnsi="Helvetica;Arial" w:cs="Helvetica;Arial"/>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1z0">
    <w:name w:val="WW8Num1z0"/>
    <w:qFormat/>
    <w:rPr>
      <w:rFonts w:ascii="Symbol" w:hAnsi="Symbol" w:cs="Symbol"/>
    </w:rPr>
  </w:style>
  <w:style w:type="character" w:styleId="WW8Num2z1">
    <w:name w:val="WW8Num2z1"/>
    <w:qFormat/>
    <w:rPr>
      <w:b/>
      <w:i w:val="false"/>
    </w:rPr>
  </w:style>
  <w:style w:type="character" w:styleId="WW8Num3z0">
    <w:name w:val="WW8Num3z0"/>
    <w:qFormat/>
    <w:rPr>
      <w:rFonts w:ascii="Symbol" w:hAnsi="Symbol" w:cs="Symbol"/>
    </w:rPr>
  </w:style>
  <w:style w:type="character" w:styleId="WW8Num4z0">
    <w:name w:val="WW8Num4z0"/>
    <w:qFormat/>
    <w:rPr/>
  </w:style>
  <w:style w:type="character" w:styleId="WW8Num6z0">
    <w:name w:val="WW8Num6z0"/>
    <w:qFormat/>
    <w:rPr>
      <w:rFonts w:ascii="PALATINO;Book Antiqua" w:hAnsi="PALATINO;Book Antiqua" w:cs="PALATINO;Book Antiqua"/>
      <w:sz w:val="26"/>
    </w:rPr>
  </w:style>
  <w:style w:type="character" w:styleId="WW8Num8z0">
    <w:name w:val="WW8Num8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style>
  <w:style w:type="character" w:styleId="WW8Num18z0">
    <w:name w:val="WW8Num18z0"/>
    <w:qFormat/>
    <w:rPr>
      <w:b w:val="false"/>
      <w:i w:val="false"/>
    </w:rPr>
  </w:style>
  <w:style w:type="character" w:styleId="WW8Num19z0">
    <w:name w:val="WW8Num19z0"/>
    <w:qFormat/>
    <w:rPr>
      <w:rFonts w:ascii="Symbol" w:hAnsi="Symbol" w:cs="Symbol"/>
    </w:rPr>
  </w:style>
  <w:style w:type="character" w:styleId="WW8Num21z1">
    <w:name w:val="WW8Num21z1"/>
    <w:qFormat/>
    <w:rPr>
      <w:b/>
      <w:i w:val="false"/>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sz w:val="26"/>
    </w:rPr>
  </w:style>
  <w:style w:type="paragraph" w:styleId="sub1">
    <w:name w:val="sub1"/>
    <w:basedOn w:val="Normal"/>
    <w:qFormat/>
    <w:pPr>
      <w:spacing w:lineRule="auto" w:line="360"/>
      <w:ind w:firstLine="1080" w:start="0" w:end="0"/>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sub8">
    <w:name w:val="sub8"/>
    <w:basedOn w:val="sub7"/>
    <w:qFormat/>
    <w:pPr>
      <w:ind w:firstLine="3787" w:start="0" w:end="0"/>
    </w:pPr>
    <w:rPr/>
  </w:style>
  <w:style w:type="paragraph" w:styleId="FootnoteText">
    <w:name w:val="footnote text"/>
    <w:basedOn w:val="Normal"/>
    <w:pPr>
      <w:spacing w:before="0" w:after="240"/>
    </w:pPr>
    <w:rPr>
      <w:sz w:val="24"/>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1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eastAsia="en-CA"/>
    </w:rPr>
  </w:style>
  <w:style w:type="paragraph" w:styleId="main">
    <w:name w:val="main"/>
    <w:basedOn w:val="Normal"/>
    <w:qFormat/>
    <w:pPr>
      <w:jc w:val="center"/>
    </w:pPr>
    <w:rPr>
      <w:rFonts w:ascii="Helvetica;Arial" w:hAnsi="Helvetica;Arial" w:cs="Helvetica;Arial"/>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titlebar">
    <w:name w:val="title bar"/>
    <w:basedOn w:val="main"/>
    <w:qFormat/>
    <w:pPr>
      <w:keepNext w:val="true"/>
      <w:suppressAutoHyphens w:val="true"/>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eastAsia="en-CA"/>
    </w:rPr>
  </w:style>
  <w:style w:type="paragraph" w:styleId="TOC3">
    <w:name w:val="toc 3"/>
    <w:basedOn w:val="Normal"/>
    <w:next w:val="Normal"/>
    <w:pPr>
      <w:tabs>
        <w:tab w:val="clear" w:pos="720"/>
        <w:tab w:val="left" w:pos="1080" w:leader="none"/>
        <w:tab w:val="right" w:pos="9350" w:leader="dot"/>
      </w:tabs>
      <w:ind w:hanging="360" w:start="1080" w:end="0"/>
    </w:pPr>
    <w:rPr>
      <w:lang w:val="en-CA" w:eastAsia="en-CA"/>
    </w:rPr>
  </w:style>
  <w:style w:type="paragraph" w:styleId="TOC5">
    <w:name w:val="toc 5"/>
    <w:basedOn w:val="Normal"/>
    <w:next w:val="Normal"/>
    <w:pPr>
      <w:tabs>
        <w:tab w:val="clear" w:pos="720"/>
        <w:tab w:val="left" w:pos="1800" w:leader="none"/>
        <w:tab w:val="right" w:pos="9350" w:leader="dot"/>
      </w:tabs>
      <w:ind w:hanging="360" w:start="1800" w:end="0"/>
    </w:pPr>
    <w:rPr>
      <w:lang w:val="en-CA" w:eastAsia="en-CA"/>
    </w:rPr>
  </w:style>
  <w:style w:type="paragraph" w:styleId="TOC6">
    <w:name w:val="toc 6"/>
    <w:basedOn w:val="Normal"/>
    <w:next w:val="Normal"/>
    <w:pPr>
      <w:tabs>
        <w:tab w:val="clear" w:pos="720"/>
        <w:tab w:val="left" w:pos="2250" w:leader="none"/>
        <w:tab w:val="right" w:pos="9350" w:leader="dot"/>
      </w:tabs>
      <w:ind w:hanging="450" w:start="2250" w:end="0"/>
    </w:pPr>
    <w:rPr>
      <w:lang w:val="en-CA" w:eastAsia="en-CA"/>
    </w:rPr>
  </w:style>
  <w:style w:type="paragraph" w:styleId="TOC7">
    <w:name w:val="toc 7"/>
    <w:basedOn w:val="Normal"/>
    <w:next w:val="Normal"/>
    <w:pPr>
      <w:tabs>
        <w:tab w:val="clear" w:pos="720"/>
        <w:tab w:val="left" w:pos="2700" w:leader="none"/>
        <w:tab w:val="right" w:pos="9350" w:leader="dot"/>
      </w:tabs>
      <w:ind w:hanging="450" w:start="2700" w:end="0"/>
    </w:pPr>
    <w:rPr>
      <w:lang w:val="en-CA" w:eastAsia="en-CA"/>
    </w:rPr>
  </w:style>
  <w:style w:type="paragraph" w:styleId="TOC8">
    <w:name w:val="toc 8"/>
    <w:basedOn w:val="Normal"/>
    <w:next w:val="Normal"/>
    <w:pPr>
      <w:tabs>
        <w:tab w:val="clear" w:pos="720"/>
        <w:tab w:val="left" w:pos="3150" w:leader="none"/>
        <w:tab w:val="right" w:pos="9350" w:leader="dot"/>
      </w:tabs>
      <w:ind w:hanging="450" w:start="3150" w:end="0"/>
    </w:pPr>
    <w:rPr>
      <w:lang w:val="en-CA" w:eastAsia="en-CA"/>
    </w:rPr>
  </w:style>
  <w:style w:type="paragraph" w:styleId="TOC9">
    <w:name w:val="toc 9"/>
    <w:basedOn w:val="Normal"/>
    <w:next w:val="Normal"/>
    <w:pPr>
      <w:tabs>
        <w:tab w:val="clear" w:pos="720"/>
        <w:tab w:val="left" w:pos="3600" w:leader="none"/>
        <w:tab w:val="right" w:pos="9350" w:leader="dot"/>
      </w:tabs>
      <w:ind w:hanging="450" w:start="3600" w:end="0"/>
    </w:pPr>
    <w:rPr>
      <w:lang w:val="en-CA" w:eastAsia="en-CA"/>
    </w:rPr>
  </w:style>
  <w:style w:type="paragraph" w:styleId="Quote2">
    <w:name w:val="Quote2"/>
    <w:basedOn w:val="quote"/>
    <w:qFormat/>
    <w:pPr>
      <w:ind w:hanging="0" w:start="1440" w:end="1260"/>
    </w:pPr>
    <w:rPr/>
  </w:style>
  <w:style w:type="paragraph" w:styleId="BodyTextIndent">
    <w:name w:val="Body Text Indent"/>
    <w:basedOn w:val="Normal"/>
    <w:pPr>
      <w:ind w:hanging="540" w:start="5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package" Target="embeddings/oleObject1.xlsx"/><Relationship Id="rId16" Type="http://schemas.openxmlformats.org/officeDocument/2006/relationships/image" Target="media/image2.wmf"/><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2001-03-26T21:23:00Z</dcterms:created>
  <dc:creator>Fannie Sid</dc:creator>
  <dc:description/>
  <dc:language>en-CA</dc:language>
  <cp:lastModifiedBy>Katie Kaplan</cp:lastModifiedBy>
  <cp:lastPrinted>2001-03-26T10:46:00Z</cp:lastPrinted>
  <dcterms:modified xsi:type="dcterms:W3CDTF">2001-03-26T21:23:00Z</dcterms:modified>
  <cp:revision>2</cp:revision>
  <dc:subject/>
  <dc:title>Decision 			</dc:title>
</cp:coreProperties>
</file>