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Mr. Hans-Dieter Erfkemper</w:t>
      </w:r>
    </w:p>
    <w:p>
      <w:pPr>
        <w:pStyle w:val="BodyText2"/>
        <w:rPr/>
      </w:pPr>
      <w:r>
        <w:rPr/>
        <w:t>Chief Executive Officer</w:t>
      </w:r>
    </w:p>
    <w:p>
      <w:pPr>
        <w:pStyle w:val="BodyText2"/>
        <w:rPr/>
      </w:pPr>
      <w:r>
        <w:rPr/>
        <w:t>RWE Trading GmbH</w:t>
      </w:r>
    </w:p>
    <w:p>
      <w:pPr>
        <w:pStyle w:val="BodyText2"/>
        <w:rPr/>
      </w:pPr>
      <w:r>
        <w:rPr/>
        <w:t>Huyssenallee 2</w:t>
      </w:r>
    </w:p>
    <w:p>
      <w:pPr>
        <w:pStyle w:val="BodyText2"/>
        <w:rPr/>
      </w:pPr>
      <w:r>
        <w:rPr/>
        <w:t>45128 Essen</w:t>
      </w:r>
    </w:p>
    <w:p>
      <w:pPr>
        <w:pStyle w:val="BodyText2"/>
        <w:rPr/>
      </w:pPr>
      <w:r>
        <w:rPr/>
        <w:t>Germany</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Mr. Erfkemper:</w:t>
      </w:r>
    </w:p>
    <w:p>
      <w:pPr>
        <w:pStyle w:val="Normal"/>
        <w:rPr>
          <w:sz w:val="24"/>
        </w:rPr>
      </w:pPr>
      <w:r>
        <w:rPr>
          <w:sz w:val="24"/>
        </w:rPr>
      </w:r>
    </w:p>
    <w:p>
      <w:pPr>
        <w:pStyle w:val="BodyText"/>
        <w:rPr/>
      </w:pPr>
      <w:r>
        <w:rPr/>
        <w:t xml:space="preserve">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r>
        <w:rPr>
          <w:sz w:val="24"/>
        </w:rPr>
        <w:t>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4"/>
        </w:rPr>
      </w:pPr>
      <w:r>
        <w:rPr>
          <w:sz w:val="24"/>
        </w:rPr>
      </w:r>
    </w:p>
    <w:p>
      <w:pPr>
        <w:pStyle w:val="BodyText"/>
        <w:rPr>
          <w:sz w:val="24"/>
        </w:rPr>
      </w:pPr>
      <w:r>
        <w:rPr>
          <w:sz w:val="24"/>
        </w:rPr>
        <w:t xml:space="preserve">Moreover,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raiding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/mnt/main-storage/datasets/enron-docs/doc/5930_A_mhc.doc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5930-A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2001-11-14T15:21:00Z</dcterms:created>
  <dc:creator>tsweet</dc:creator>
  <dc:description/>
  <dc:language>en-CA</dc:language>
  <cp:lastModifiedBy>Diane Goode</cp:lastModifiedBy>
  <cp:lastPrinted>2001-11-14T11:59:00Z</cp:lastPrinted>
  <dcterms:modified xsi:type="dcterms:W3CDTF">2001-11-14T15:30:00Z</dcterms:modified>
  <cp:revision>6</cp:revision>
  <dc:subject/>
  <dc:title>E</dc:title>
</cp:coreProperties>
</file>