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  <w:t>EEOS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2790"/>
        <w:gridCol w:w="1260"/>
        <w:gridCol w:w="3420"/>
      </w:tblGrid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A.F. &amp; R. Shehadeh Law Office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Nadeem Shehadeh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Ramallah P.O. Box (74)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Ramallah, Palestine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Autonomous Territories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00972-2 2961111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$2,000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Advising on OE contract for Gaza Power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Avukat Yilmaz Oz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Turan Emeksiz S.3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Park Apt. B/7, G.O.P. 6700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Ankara, Turkey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90.312.426.1224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Winding up wholly owned Turkish construction company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Crawford Bayley &amp; Co.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Suresh Talwar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Dadi Engineer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State Bank Building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N.G.N. Vaidya Marg.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Mumbai-400 023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India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Advising re claims against Dabhol Power Company under Power and LNG EPC contracts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Phillip T. Bruns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77002-5255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713-650-8805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legal advice re claims against Dabhol Power Company under Power and LNG EPC contracts; claims and counterclaims against Bechtel Power and GE Power Systems under construction joint venture agreements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King &amp; Spalding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John L. Keffer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Suite 3300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77002-5219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713-751-3200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$20,000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Advice and documentation of settlement with counterparties to Gulf of Mexico construction project Gulf Project (Cabyl and Cigsa).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Ritch, Heather y Mueller, S.C.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Thomas Mueller-Gastell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Amberes No. 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06600 Mexico, D.F.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5207-6533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Advising on Mexican law aspects and providing Mexican legal documents needed to conclude settlement of the Gulf of Mexico Project (Cabyl and Cigsa). 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Speechly Bircham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Jonatthan Rosshandler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 St. Andrew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London EC4A 3LX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England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44-0207-427-6400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US legal advice re claims against Dabhol Power Company under Power and LNG EPC contracts, claims and counterclaims against Bechtel Power and GE Power Systems under construction joint venture agreements. 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Torres Plaz &amp; Araujo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Juan Garanton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Paseo Colon, Urb. Los Cabos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Edif. Polar, piso 17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Plaza Venezuela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Caracas, Venezuela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582-709-5311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Venezuelan legal advice re claims and legal disputes arising under the Accroven – EPCC Contract. 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  <w:t>ENRON ENERGY SERVICES, INC. &amp; ENRON POWER MARKETING, INC.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2880"/>
        <w:gridCol w:w="1350"/>
        <w:gridCol w:w="333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Carroll &amp; Gross L.L.P.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Marianne Carroll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701 Brazos, Suite 310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Austin, TX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512-320-5953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512-320-5920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$10,000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Represent Debtors before the Texas Public Utility Commission (PUCT) concerning Retail Electric Provider (REP) licenses, including hearing scheduled for February 2002.  </w:t>
            </w:r>
          </w:p>
        </w:tc>
      </w:tr>
    </w:tbl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  <w:t>PALM BEACH DEVELOPMENT COMPANY, L.L.C.</w:t>
      </w:r>
    </w:p>
    <w:p>
      <w:pPr>
        <w:pStyle w:val="Normal"/>
        <w:rPr/>
      </w:pPr>
      <w:r>
        <w:rPr/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2880"/>
        <w:gridCol w:w="1350"/>
        <w:gridCol w:w="333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Greenberg, Traurig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Debbie Orshefsky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515 East Las Olas Blvd., Suite 1500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Ft. Lauderdale, Florida 33301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954-765-0500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Real estate, zoning, environmental, administrative (permitting), litigation and other land use matters re: Florida development projects.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>
          <w:b/>
          <w:sz w:val="22"/>
          <w:u w:val="single"/>
        </w:rPr>
        <w:t>ENRON NORTH AMERICA CORP</w:t>
      </w:r>
      <w:r>
        <w:rPr>
          <w:b/>
          <w:sz w:val="22"/>
        </w:rPr>
        <w:t>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2790"/>
        <w:gridCol w:w="1350"/>
        <w:gridCol w:w="3330"/>
      </w:tblGrid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Crosby, Heafey, Roach &amp; May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Contact: David A. Thompson,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Hawkins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 xml:space="preserve">Two Embarcadero Center 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20th Floor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San Francisco, CA 94111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415-543-8700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$45,000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Real estate and permitting issues re Roseville Power Plant.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Michael R. Woods, P.C.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Michael Woods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465 First St. W., Ste. 200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Sonoma, CA 95476-6600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707-996-1776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$20,000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Local municipal law and related issues re Roseville Power Plant.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Littler Mendelson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Kerry Notestine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1301 McKinney, Ste. 1900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Houston, TX 77010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713-652-4748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Fax: 713-951-9212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Labor and employment matters.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McCutcheon, Doyle, Brown &amp; Emersen,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Contacts: Barry Ogilby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-and-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Harlan Wendell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Three Embarcadero Center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San Francisco, CA 94111-4067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-and-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1900 University Avenue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E. Palo Alto, CA 94303-2223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$40,000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Environmental, regulatory and contract issues re Emissions Reductions Credits at Roseville Power Plant; analysis of potential grounds for challenge by a municipal entity of the validity of long-term power contracts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The Law Offices of Coe F. Miles, P.C.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Coe F. Miles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15150 Middlebrook Drive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Houston, TX 77058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281-488-6337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Fax: 281-488-4597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$20,000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Opinion for patent infringement litigation; Bid/Ask, L.L.C. v. Enron Corp. and Enron Online, L.L.C.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Pruitt Gushee &amp; Bachtell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William E. Ward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1850 Beneficial Life Tower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Salt Lake City, UT 84111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801-531-8446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Fax: 801-531-8468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Crescendo Energy, LLFCD (88% owned by Trutta and JEDI II)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Allan Thompson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21C Orinda Way #314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Orinda, CA 94563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925-258-9962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$10,000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 xml:space="preserve">State and local permitting re Roseville Power Plant; Licensing legal advice &amp; consultation. 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Tindall &amp; Foster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Charles Foster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600 Travis St., Ste. 2800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Houston, TX 77002-3094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713-229-8733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Fax: 713-228-1303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$5-15,000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Company and employee immigration matters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Netherland, Sewell &amp; Associates, Inc.</w:t>
            </w:r>
          </w:p>
          <w:p>
            <w:pPr>
              <w:pStyle w:val="Normal"/>
              <w:rPr/>
            </w:pPr>
            <w:r>
              <w:rPr/>
              <w:t>Contact: Danny D. Simmons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4950 Three Allen Center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333 Clay Street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Houston, Texas 77002-4103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713-854-4950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Fax: 713-654-4951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$50,000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 xml:space="preserve">Petroleum Engineers: consulting, preparing reserve reports on E&amp;P assets. 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Patch Inc.</w:t>
            </w:r>
          </w:p>
          <w:p>
            <w:pPr>
              <w:pStyle w:val="Normal"/>
              <w:rPr/>
            </w:pPr>
            <w:r>
              <w:rPr/>
              <w:t>Contact: C.J. Patch III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15832 West Hardy Road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Houston, TX 77060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(281) 999-4949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$25,000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 xml:space="preserve">Preliminary engineering analysis; response to California Energy Commission (CEC) data requests regarding Roseville Power Plant. 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URS Greiner Woodward Clyde</w:t>
            </w:r>
          </w:p>
          <w:p>
            <w:pPr>
              <w:pStyle w:val="Normal"/>
              <w:rPr/>
            </w:pPr>
            <w:r>
              <w:rPr/>
              <w:t>Contact: Tim Cohen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130 Robin Hill Road,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Suite 100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Santa Barbara, CA 93117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Tel: (805) 964-6010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$50,000</w:t>
            </w:r>
            <w:r>
              <w:rPr>
                <w:rStyle w:val="FootnoteCharacters"/>
                <w:rStyle w:val="FootnoteReference"/>
                <w:sz w:val="21"/>
              </w:rPr>
              <w:footnoteReference w:id="2"/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 xml:space="preserve">Engineers; provide preliminary environmental analysis and response to CEC data requests regarding Roseville Power Plant.  </w:t>
            </w:r>
          </w:p>
        </w:tc>
      </w:tr>
      <w:tr>
        <w:trPr/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AMEC E&amp;C Services, Inc.</w:t>
            </w:r>
          </w:p>
          <w:p>
            <w:pPr>
              <w:pStyle w:val="Normal"/>
              <w:rPr/>
            </w:pPr>
            <w:r>
              <w:rPr/>
              <w:t>Contact: Tim Blackwell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400 Executive Center Drive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Suite 200</w:t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Greenville, SC 29615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1"/>
              </w:rPr>
            </w:pPr>
            <w:r>
              <w:rPr>
                <w:sz w:val="21"/>
              </w:rPr>
              <w:t>$20,000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Engineering Design: preparation of engineering drawings; Longview power generating facility</w:t>
            </w:r>
          </w:p>
        </w:tc>
      </w:tr>
    </w:tbl>
    <w:p>
      <w:pPr>
        <w:pStyle w:val="Normal"/>
        <w:rPr>
          <w:sz w:val="22"/>
        </w:rPr>
      </w:pPr>
      <w:r>
        <w:br w:type="page"/>
      </w:r>
      <w:r>
        <w:rPr>
          <w:b/>
          <w:sz w:val="22"/>
          <w:u w:val="single"/>
        </w:rPr>
        <w:t>ENRON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2880"/>
        <w:gridCol w:w="1350"/>
        <w:gridCol w:w="333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Tonkon Torp, L.L.P.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Contact: Mike Morgan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888 SW 5th, Ste. 1600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Portland, OR 97202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503-802-2007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503-972-3707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Regulatory matters and related matters before the Oregon PUC and the Washington Utilities and Transportation Commission re sale of PGE to Northwest Natural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2880"/>
        <w:gridCol w:w="1350"/>
        <w:gridCol w:w="333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Byrd, Davis, Eisenberg, Walter &amp; Furman</w:t>
            </w:r>
          </w:p>
          <w:p>
            <w:pPr>
              <w:pStyle w:val="Normal"/>
              <w:rPr/>
            </w:pPr>
            <w:r>
              <w:rPr/>
              <w:t>Contact: Robby Alden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707 W. 34th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Austin, TX 78705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512-454-3751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512-451-5857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$30,000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Representation of individuals who have received notice of investigations by the Texas Board of Accountants relating to restatement of earnings.</w:t>
            </w:r>
          </w:p>
        </w:tc>
      </w:tr>
    </w:tbl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tbl>
      <w:tblPr>
        <w:tblW w:w="108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2880"/>
        <w:gridCol w:w="1350"/>
        <w:gridCol w:w="3330"/>
      </w:tblGrid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 of Firm &amp; Contact Information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Address &amp; Phone Number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Estimated Monthly</w:t>
              <w:br/>
              <w:t>Fees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</w:t>
              <w:br/>
              <w:t>Services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Pat Makin, Esq.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5941 Capital Forrest Drive S.W.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Olympia, WA 98512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Tel: 360-956-9768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Fax: 360-236-9878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612" w:leader="none"/>
              </w:tabs>
              <w:rPr>
                <w:sz w:val="22"/>
              </w:rPr>
            </w:pPr>
            <w:r>
              <w:rPr>
                <w:sz w:val="22"/>
              </w:rPr>
              <w:t>$5,000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ERISA matters, on an as-needed basis.</w:t>
            </w:r>
          </w:p>
        </w:tc>
      </w:tr>
    </w:tbl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2240" w:h="15840"/>
      <w:pgMar w:left="1008" w:right="1008" w:gutter="0" w:header="432" w:top="5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ngraversGothic B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TrailerWGM"/>
      </w:rPr>
      <w:fldChar w:fldCharType="begin"/>
    </w:r>
    <w:r>
      <w:rPr>
        <w:rStyle w:val="TrailerWGM"/>
      </w:rPr>
      <w:instrText xml:space="preserve"> DOCPROPERTY "WGM_Trailer"</w:instrText>
    </w:r>
    <w:r>
      <w:rPr>
        <w:rStyle w:val="TrailerWGM"/>
      </w:rPr>
      <w:fldChar w:fldCharType="separate"/>
    </w:r>
    <w:r>
      <w:rPr>
        <w:rStyle w:val="TrailerWGM"/>
      </w:rPr>
      <w:t>HO1:\244180\02\58#S02!.DOC\43889.0003</w:t>
    </w:r>
    <w:r>
      <w:rPr>
        <w:rStyle w:val="TrailerWGM"/>
      </w:rPr>
      <w:fldChar w:fldCharType="end"/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TrailerWGM"/>
      </w:rPr>
      <w:fldChar w:fldCharType="begin"/>
    </w:r>
    <w:r>
      <w:rPr>
        <w:rStyle w:val="TrailerWGM"/>
      </w:rPr>
      <w:instrText xml:space="preserve"> DOCPROPERTY "WGM_Trailer"</w:instrText>
    </w:r>
    <w:r>
      <w:rPr>
        <w:rStyle w:val="TrailerWGM"/>
      </w:rPr>
      <w:fldChar w:fldCharType="separate"/>
    </w:r>
    <w:r>
      <w:rPr>
        <w:rStyle w:val="TrailerWGM"/>
      </w:rPr>
      <w:t>HO1:\244180\02\58#S02!.DOC\43889.0003</w:t>
    </w:r>
    <w:r>
      <w:rPr>
        <w:rStyle w:val="TrailerWGM"/>
      </w:rPr>
      <w:fldChar w:fldCharType="end"/>
    </w:r>
    <w:r>
      <w:rPr/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On average over a twelve-month period.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</w:rPr>
    </w:pPr>
    <w:r>
      <w:rPr>
        <w:b/>
      </w:rPr>
      <w:t>ORDINARY COURSE PROFESSIONALS MOTION</w:t>
    </w:r>
  </w:p>
  <w:p>
    <w:pPr>
      <w:pStyle w:val="Normal"/>
      <w:jc w:val="center"/>
      <w:rPr>
        <w:b/>
      </w:rPr>
    </w:pPr>
    <w:r>
      <w:rPr>
        <w:b/>
      </w:rPr>
      <w:t>EXHIBIT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6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TrailerWGM">
    <w:name w:val="Trailer WGM"/>
    <w:basedOn w:val="DefaultParagraphFont"/>
    <w:qFormat/>
    <w:rPr>
      <w:caps/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cs="Times New Roman"/>
      <w:color w:val="0000FF"/>
      <w:sz w:val="24"/>
      <w:u w:val="single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numPr>
        <w:ilvl w:val="0"/>
        <w:numId w:val="12"/>
      </w:numPr>
      <w:tabs>
        <w:tab w:val="clear" w:pos="720"/>
      </w:tabs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Tab">
    <w:name w:val="Block Text Tab"/>
    <w:basedOn w:val="Normal"/>
    <w:qFormat/>
    <w:pPr>
      <w:spacing w:before="0" w:after="240"/>
      <w:ind w:firstLine="720" w:start="1440" w:end="1440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/>
      <w:ind w:firstLine="1440" w:start="0" w:end="0"/>
    </w:pPr>
    <w:rPr/>
  </w:style>
  <w:style w:type="paragraph" w:styleId="BodyText3">
    <w:name w:val="Body Text 3"/>
    <w:basedOn w:val="Normal"/>
    <w:qFormat/>
    <w:pPr>
      <w:spacing w:before="0" w:after="240"/>
    </w:pPr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BodyTextFirstIndent2">
    <w:name w:val="Body Text First Indent 2"/>
    <w:basedOn w:val="Normal"/>
    <w:qFormat/>
    <w:pPr>
      <w:spacing w:lineRule="auto" w:line="480"/>
      <w:ind w:firstLine="720" w:start="1440" w:end="0"/>
    </w:pPr>
    <w:rPr/>
  </w:style>
  <w:style w:type="paragraph" w:styleId="BodyTextFirstIndent">
    <w:name w:val="Body Text First Indent"/>
    <w:basedOn w:val="Normal"/>
    <w:qFormat/>
    <w:pPr>
      <w:spacing w:before="0" w:after="240"/>
      <w:ind w:firstLine="720" w:start="1440" w:end="0"/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144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4320" w:leader="none"/>
      </w:tabs>
      <w:spacing w:before="0" w:after="240"/>
      <w:ind w:hanging="4320" w:start="4320" w:end="0"/>
    </w:pPr>
    <w:rPr/>
  </w:style>
  <w:style w:type="paragraph" w:styleId="EndnoteText">
    <w:name w:val="endnote text"/>
    <w:basedOn w:val="Normal"/>
    <w:pPr>
      <w:spacing w:before="0" w:after="240"/>
    </w:pPr>
    <w:rPr>
      <w:sz w:val="24"/>
    </w:rPr>
  </w:style>
  <w:style w:type="paragraph" w:styleId="FootnoteText">
    <w:name w:val="footnote text"/>
    <w:next w:val="Normal"/>
    <w:pPr>
      <w:widowControl/>
      <w:bidi w:val="0"/>
      <w:ind w:hanging="720" w:start="720" w:end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numPr>
        <w:ilvl w:val="0"/>
        <w:numId w:val="16"/>
      </w:numPr>
      <w:tabs>
        <w:tab w:val="clear" w:pos="720"/>
      </w:tabs>
      <w:spacing w:before="0" w:after="240"/>
      <w:ind w:hanging="720" w:start="144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numPr>
        <w:ilvl w:val="0"/>
        <w:numId w:val="14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numPr>
        <w:ilvl w:val="0"/>
        <w:numId w:val="15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numPr>
        <w:ilvl w:val="0"/>
        <w:numId w:val="13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144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216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88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3600" w:end="0"/>
    </w:pPr>
    <w:rPr/>
  </w:style>
  <w:style w:type="paragraph" w:styleId="ListContinue">
    <w:name w:val="List Continue"/>
    <w:basedOn w:val="Normal"/>
    <w:qFormat/>
    <w:pPr>
      <w:spacing w:before="0" w:after="240"/>
      <w:ind w:hanging="0" w:start="720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  <w:spacing w:before="0" w:after="240"/>
      <w:ind w:hanging="720" w:start="1440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  <w:spacing w:before="0" w:after="240"/>
      <w:ind w:hanging="720" w:start="72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PlainText">
    <w:name w:val="Plain Text"/>
    <w:basedOn w:val="Normal"/>
    <w:qFormat/>
    <w:pPr>
      <w:spacing w:before="0" w:after="240"/>
    </w:pPr>
    <w:rPr>
      <w:sz w:val="24"/>
    </w:rPr>
  </w:style>
  <w:style w:type="paragraph" w:styleId="Signature">
    <w:name w:val="Signature"/>
    <w:basedOn w:val="Normal"/>
    <w:pPr>
      <w:spacing w:before="0" w:after="240"/>
      <w:ind w:hanging="0" w:start="4320" w:end="0"/>
    </w:pPr>
    <w:rPr>
      <w:sz w:val="24"/>
    </w:rPr>
  </w:style>
  <w:style w:type="paragraph" w:styleId="Subtitle">
    <w:name w:val="Subtitle"/>
    <w:basedOn w:val="Normal"/>
    <w:next w:val="BodyText"/>
    <w:qFormat/>
    <w:pPr>
      <w:keepNext w:val="true"/>
      <w:spacing w:before="0" w:after="240"/>
      <w:jc w:val="center"/>
      <w:outlineLvl w:val="1"/>
    </w:pPr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245" w:start="245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  <w:style w:type="paragraph" w:styleId="EnvelopeWGMReturn">
    <w:name w:val="Envelope WGM Return"/>
    <w:basedOn w:val="Normal"/>
    <w:qFormat/>
    <w:pPr/>
    <w:rPr/>
  </w:style>
  <w:style w:type="paragraph" w:styleId="Memohead">
    <w:name w:val="Memohead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b/>
      <w:color w:val="auto"/>
      <w:sz w:val="20"/>
      <w:szCs w:val="20"/>
      <w:lang w:val="en-CA" w:eastAsia="zh-CN" w:bidi="hi-IN"/>
    </w:rPr>
  </w:style>
  <w:style w:type="paragraph" w:styleId="Memorandum">
    <w:name w:val="Memorandum"/>
    <w:basedOn w:val="Normal"/>
    <w:qFormat/>
    <w:pPr>
      <w:spacing w:before="0" w:after="720"/>
      <w:jc w:val="center"/>
    </w:pPr>
    <w:rPr>
      <w:rFonts w:ascii="EngraversGothic BT" w:hAnsi="EngraversGothic BT" w:cs="EngraversGothic BT"/>
      <w:b/>
      <w:spacing w:val="100"/>
      <w:sz w:val="28"/>
    </w:rPr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BodyText4">
    <w:name w:val="Body Text 4"/>
    <w:basedOn w:val="Normal"/>
    <w:qFormat/>
    <w:pPr>
      <w:spacing w:lineRule="auto" w:line="480"/>
    </w:pPr>
    <w:rPr/>
  </w:style>
  <w:style w:type="paragraph" w:styleId="EnvelopeReturn">
    <w:name w:val="envelope return"/>
    <w:basedOn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ListBullet21">
    <w:name w:val="List Bullet 21"/>
    <w:basedOn w:val="Normal"/>
    <w:qFormat/>
    <w:pPr>
      <w:numPr>
        <w:ilvl w:val="0"/>
        <w:numId w:val="9"/>
      </w:numPr>
      <w:spacing w:before="0" w:after="240"/>
      <w:ind w:hanging="720" w:start="1440" w:end="0"/>
    </w:pPr>
    <w:rPr/>
  </w:style>
  <w:style w:type="paragraph" w:styleId="DocumentMap">
    <w:name w:val="Document Map"/>
    <w:basedOn w:val="Normal"/>
    <w:qFormat/>
    <w:pPr>
      <w:shd w:fill="000080" w:val="clear"/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</w:rPr>
  </w:style>
  <w:style w:type="paragraph" w:styleId="DeliveryMethod">
    <w:name w:val="Delivery Method"/>
    <w:basedOn w:val="Normal"/>
    <w:next w:val="Normal"/>
    <w:qFormat/>
    <w:pPr>
      <w:spacing w:before="0" w:after="240"/>
    </w:pPr>
    <w:rPr>
      <w:b/>
      <w:u w:val="single"/>
    </w:rPr>
  </w:style>
  <w:style w:type="paragraph" w:styleId="winnie">
    <w:name w:val="winnie"/>
    <w:basedOn w:val="BodyText2"/>
    <w:qFormat/>
    <w:pPr>
      <w:spacing w:lineRule="auto" w:line="360"/>
      <w:ind w:firstLine="720" w:start="0" w:end="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2002-01-16T23:43:00Z</dcterms:created>
  <dc:creator>JULIAN</dc:creator>
  <dc:description/>
  <cp:keywords>DocsOpen Name: #244180 v2 - Ordinary Course Professionals Motion - Exhibit A</cp:keywords>
  <dc:language>en-CA</dc:language>
  <cp:lastModifiedBy>TIGHE</cp:lastModifiedBy>
  <cp:lastPrinted>2002-01-24T17:43:00Z</cp:lastPrinted>
  <dcterms:modified xsi:type="dcterms:W3CDTF">2002-01-24T20:26:00Z</dcterms:modified>
  <cp:revision>42</cp:revision>
  <dc:subject>DocsOpen Loc:G:\DATA\HO1\BAKERS\LST\58#S02!.DOC</dc:subject>
  <dc:title>ORDINARY COURSE PROFESSIONALS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HO1:\244180\02\58#S02!.DOC\43889.0003</vt:lpwstr>
  </property>
</Properties>
</file>