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This redlined draft, generated by CompareRite (TM) - The Instant Redliner, shows the differences between - </w:t>
      </w:r>
    </w:p>
    <w:p>
      <w:pPr>
        <w:pStyle w:val="Normal"/>
        <w:rPr>
          <w:sz w:val="24"/>
        </w:rPr>
      </w:pPr>
      <w:r>
        <w:rPr>
          <w:sz w:val="24"/>
        </w:rPr>
        <w:t>original document   : C:\TEMP\MIA_1998_570710_1</w:t>
      </w:r>
    </w:p>
    <w:p>
      <w:pPr>
        <w:pStyle w:val="Normal"/>
        <w:rPr>
          <w:sz w:val="24"/>
        </w:rPr>
      </w:pPr>
      <w:r>
        <w:rPr>
          <w:sz w:val="24"/>
        </w:rPr>
        <w:t>and revised document: C:\TEMP\MIA_1998_570710.2</w:t>
      </w:r>
    </w:p>
    <w:p>
      <w:pPr>
        <w:pStyle w:val="Normal"/>
        <w:rPr>
          <w:sz w:val="24"/>
        </w:rPr>
      </w:pPr>
      <w:r>
        <w:rPr>
          <w:sz w:val="24"/>
        </w:rPr>
      </w:r>
    </w:p>
    <w:p>
      <w:pPr>
        <w:pStyle w:val="Normal"/>
        <w:rPr>
          <w:sz w:val="24"/>
        </w:rPr>
      </w:pPr>
      <w:r>
        <w:rPr>
          <w:sz w:val="24"/>
        </w:rPr>
        <w:t xml:space="preserve">Deletions appear as Overstrike text </w:t>
      </w:r>
    </w:p>
    <w:p>
      <w:pPr>
        <w:pStyle w:val="Normal"/>
        <w:rPr>
          <w:sz w:val="24"/>
        </w:rPr>
      </w:pPr>
      <w:r>
        <w:rPr>
          <w:sz w:val="24"/>
        </w:rPr>
        <w:t xml:space="preserve">Additions appear as Double Underline text </w:t>
      </w:r>
    </w:p>
    <w:p>
      <w:pPr>
        <w:pStyle w:val="Normal"/>
        <w:widowControl/>
        <w:jc w:val="end"/>
        <w:rPr>
          <w:sz w:val="24"/>
        </w:rPr>
      </w:pPr>
      <w:r>
        <w:rPr>
          <w:sz w:val="24"/>
        </w:rPr>
      </w:r>
    </w:p>
    <w:p>
      <w:pPr>
        <w:pStyle w:val="Normal"/>
        <w:widowControl/>
        <w:jc w:val="end"/>
        <w:rPr>
          <w:sz w:val="24"/>
        </w:rPr>
      </w:pPr>
      <w:r>
        <w:rPr>
          <w:sz w:val="24"/>
        </w:rPr>
      </w:r>
    </w:p>
    <w:p>
      <w:pPr>
        <w:pStyle w:val="Normal"/>
        <w:widowControl/>
        <w:jc w:val="center"/>
        <w:rPr>
          <w:b/>
          <w:sz w:val="24"/>
          <w:u w:val="single"/>
        </w:rPr>
      </w:pPr>
      <w:r>
        <w:rPr>
          <w:b/>
          <w:sz w:val="24"/>
          <w:u w:val="single"/>
        </w:rPr>
        <w:t>Marked to show changes to Schedule only.</w:t>
      </w:r>
    </w:p>
    <w:p>
      <w:pPr>
        <w:pStyle w:val="Normal"/>
        <w:widowControl/>
        <w:jc w:val="center"/>
        <w:rPr>
          <w:b/>
          <w:sz w:val="24"/>
          <w:u w:val="single"/>
        </w:rPr>
      </w:pPr>
      <w:r>
        <w:rPr>
          <w:b/>
          <w:sz w:val="24"/>
          <w:u w:val="single"/>
        </w:rPr>
        <w:t>Credit Support Annex not yet reviewed.</w:t>
      </w:r>
    </w:p>
    <w:p>
      <w:pPr>
        <w:pStyle w:val="Normal"/>
        <w:widowControl/>
        <w:jc w:val="end"/>
        <w:rPr>
          <w:b/>
          <w:sz w:val="24"/>
          <w:u w:val="single"/>
        </w:rPr>
      </w:pPr>
      <w:r>
        <w:rPr>
          <w:b/>
          <w:sz w:val="24"/>
          <w:u w:val="single"/>
        </w:rPr>
      </w:r>
    </w:p>
    <w:p>
      <w:pPr>
        <w:pStyle w:val="Normal"/>
        <w:widowControl/>
        <w:jc w:val="end"/>
        <w:rPr>
          <w:b/>
          <w:sz w:val="22"/>
          <w:u w:val="single"/>
        </w:rPr>
      </w:pPr>
      <w:r>
        <w:rPr>
          <w:b/>
          <w:sz w:val="22"/>
          <w:u w:val="single"/>
        </w:rPr>
        <w:t xml:space="preserve">DRAFT OF </w:t>
      </w:r>
      <w:r>
        <w:rPr>
          <w:b/>
          <w:strike/>
          <w:sz w:val="22"/>
          <w:u w:val="single"/>
        </w:rPr>
        <w:t>01/18/00</w:t>
      </w:r>
      <w:r>
        <w:rPr>
          <w:b/>
          <w:sz w:val="22"/>
          <w:u w:val="single"/>
        </w:rPr>
        <w:t xml:space="preserve"> </w:t>
      </w:r>
      <w:r>
        <w:rPr>
          <w:b/>
          <w:sz w:val="22"/>
          <w:u w:val="double"/>
        </w:rPr>
        <w:t>03/27/00</w:t>
      </w:r>
    </w:p>
    <w:p>
      <w:pPr>
        <w:pStyle w:val="Normal"/>
        <w:widowControl/>
        <w:jc w:val="end"/>
        <w:rPr>
          <w:b/>
          <w:sz w:val="22"/>
          <w:u w:val="single"/>
        </w:rPr>
      </w:pPr>
      <w:r>
        <w:rPr>
          <w:b/>
          <w:sz w:val="22"/>
          <w:u w:val="single"/>
        </w:rPr>
      </w:r>
    </w:p>
    <w:p>
      <w:pPr>
        <w:pStyle w:val="Normal"/>
        <w:widowControl/>
        <w:jc w:val="end"/>
        <w:rPr>
          <w:b/>
          <w:sz w:val="22"/>
        </w:rPr>
      </w:pPr>
      <w:r>
        <w:rPr>
          <w:b/>
          <w:strike/>
          <w:sz w:val="22"/>
        </w:rPr>
        <w:t>SCHEDULEto theMASTER AGREEMENT(Multicurrency-Cross Border)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cs="CG Times" w:ascii="CG Times" w:hAnsi="CG Times"/>
          <w:b/>
          <w:sz w:val="24"/>
          <w:u w:val="double"/>
        </w:rPr>
        <w:t>SCHEDULE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rPr>
      </w:pPr>
      <w:r>
        <w:rPr>
          <w:rFonts w:eastAsia="CG Times" w:cs="CG Times" w:ascii="CG Times" w:hAnsi="CG Times"/>
          <w:b/>
          <w:sz w:val="24"/>
        </w:rPr>
        <w:t xml:space="preserve"> </w:t>
      </w:r>
      <w:r>
        <w:rPr>
          <w:rFonts w:cs="CG Times" w:ascii="CG Times" w:hAnsi="CG Times"/>
          <w:b/>
          <w:strike/>
          <w:sz w:val="24"/>
        </w:rPr>
        <w:t>dated as of _________________</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b/>
          <w:sz w:val="24"/>
          <w:u w:val="double"/>
        </w:rPr>
      </w:pPr>
      <w:r>
        <w:rPr>
          <w:rFonts w:cs="CG Times" w:ascii="CG Times" w:hAnsi="CG Times"/>
          <w:b/>
          <w:sz w:val="24"/>
          <w:u w:val="double"/>
        </w:rPr>
        <w:t>to the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 w:ascii="CG Times" w:hAnsi="CG Times"/>
          <w:b/>
          <w:sz w:val="24"/>
          <w:u w:val="double"/>
        </w:rPr>
        <w:t>ISDA</w:t>
      </w:r>
      <w:r>
        <w:rPr>
          <w:rFonts w:cs="CG Times" w:ascii="CG Times" w:hAnsi="CG Times"/>
          <w:b/>
          <w:sz w:val="24"/>
          <w:u w:val="double"/>
          <w:vertAlign w:val="superscript"/>
        </w:rPr>
        <w:t>®</w:t>
      </w:r>
      <w:r>
        <w:rPr>
          <w:rFonts w:cs="CG Times" w:ascii="CG Times" w:hAnsi="CG Times"/>
          <w:b/>
          <w:sz w:val="24"/>
        </w:rPr>
        <w:t xml:space="preserve"> </w:t>
      </w:r>
      <w:r>
        <w:rPr>
          <w:rFonts w:cs="CG Times" w:ascii="CG Times" w:hAnsi="CG Times"/>
          <w:b/>
          <w:sz w:val="24"/>
          <w:u w:val="double"/>
        </w:rPr>
        <w:t>MASTER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 w:hAnsi="CG Times" w:cs="CG Times"/>
          <w:sz w:val="24"/>
          <w:u w:val="double"/>
        </w:rPr>
      </w:pPr>
      <w:r>
        <w:rPr>
          <w:rFonts w:cs="CG Times" w:ascii="CG Times" w:hAnsi="CG Times"/>
          <w:b/>
          <w:sz w:val="24"/>
          <w:u w:val="double"/>
        </w:rPr>
        <w:t>(Multicurrency--Cross Border © 1992)</w:t>
      </w:r>
    </w:p>
    <w:p>
      <w:pPr>
        <w:pStyle w:val="Normal"/>
        <w:widowControl/>
        <w:tabs>
          <w:tab w:val="clear" w:pos="720"/>
          <w:tab w:val="center" w:pos="5760" w:leader="none"/>
        </w:tabs>
        <w:spacing w:before="120" w:after="0"/>
        <w:jc w:val="center"/>
        <w:rPr>
          <w:b/>
          <w:sz w:val="22"/>
        </w:rPr>
      </w:pPr>
      <w:r>
        <w:rPr>
          <w:b/>
          <w:sz w:val="22"/>
          <w:u w:val="double"/>
        </w:rPr>
        <w:t>dated as of March ___, 2000</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widowContro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widowContro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widowContro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spacing w:lineRule="exact" w:line="240" w:before="240" w:after="0"/>
        <w:ind w:firstLine="720" w:end="0"/>
        <w:jc w:val="both"/>
        <w:rPr>
          <w:sz w:val="22"/>
        </w:rPr>
      </w:pPr>
      <w:r>
        <w:rPr>
          <w:sz w:val="22"/>
        </w:rPr>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u w:val="double"/>
        </w:rPr>
        <w:t>Illegality</w:t>
      </w:r>
      <w:r>
        <w:rPr>
          <w:b/>
          <w:sz w:val="22"/>
        </w:rPr>
        <w:t xml:space="preserve"> </w:t>
      </w:r>
      <w:r>
        <w:rPr>
          <w:b/>
          <w:strike/>
          <w:sz w:val="22"/>
        </w:rPr>
        <w:t>Additional Termination Event will apply. The following will constitute an Additional Termination Event with respect to Party B:</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sz w:val="22"/>
        </w:rPr>
      </w:pPr>
      <w:r>
        <w:rPr>
          <w:b/>
          <w:strike/>
          <w:sz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w:t>
      </w:r>
      <w:r>
        <w:rPr>
          <w:b/>
          <w:sz w:val="22"/>
        </w:rPr>
        <w:t>.</w:t>
      </w:r>
      <w:r>
        <w:rPr>
          <w:sz w:val="22"/>
        </w:rPr>
        <w:t xml:space="preserve">  For the purpose of </w:t>
      </w:r>
      <w:r>
        <w:rPr>
          <w:strike/>
          <w:sz w:val="22"/>
        </w:rPr>
        <w:t>the foregoing Termination Event, the Affected Party shall be Party B.</w:t>
      </w:r>
      <w:r>
        <w:rPr>
          <w:sz w:val="22"/>
        </w:rPr>
        <w:t xml:space="preserve"> </w:t>
      </w:r>
      <w:r>
        <w:rPr>
          <w:sz w:val="22"/>
          <w:u w:val="double"/>
        </w:rPr>
        <w:t>Section 5(b)(i), the obligation of a party to comply with any directive issued or given by any governmental agency or authority of competent jurisdiction which has the result referred to in Section 5(b)(i) will be deemed to be an "illegality."</w:t>
      </w:r>
    </w:p>
    <w:p>
      <w:pPr>
        <w:pStyle w:val="Normal"/>
        <w:widowContro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widowContro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rPr>
      </w:pPr>
      <w:r>
        <w:rPr>
          <w:sz w:val="22"/>
        </w:rPr>
        <w:t>(i)</w:t>
        <w:tab/>
        <w:t>The following representation applies to Party 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pPr>
      <w:r>
        <w:rPr>
          <w:sz w:val="22"/>
        </w:rPr>
        <w:t>Party A is a corporation organized under the laws of the State of Delaware</w:t>
      </w:r>
      <w:r>
        <w:rPr>
          <w:rFonts w:cs="CG Times" w:ascii="CG Times" w:hAnsi="CG Times"/>
          <w:sz w:val="24"/>
        </w:rPr>
        <w:t xml:space="preserve"> </w:t>
      </w:r>
      <w:r>
        <w:rPr>
          <w:sz w:val="22"/>
          <w:u w:val="double"/>
        </w:rPr>
        <w:t>and its U.S. taxpayer identification number is ____________</w:t>
      </w:r>
      <w:r>
        <w:rPr>
          <w:sz w:val="22"/>
        </w:rPr>
        <w:t>.</w:t>
      </w:r>
    </w:p>
    <w:p>
      <w:pPr>
        <w:pStyle w:val="Normal"/>
        <w:widowControl/>
        <w:spacing w:lineRule="exact" w:line="240" w:before="240" w:after="0"/>
        <w:ind w:hanging="720" w:start="900" w:end="0"/>
        <w:jc w:val="both"/>
        <w:rPr>
          <w:sz w:val="22"/>
        </w:rPr>
      </w:pPr>
      <w:r>
        <w:rPr>
          <w:sz w:val="22"/>
        </w:rPr>
        <w:t>(ii)</w:t>
        <w:tab/>
        <w:t>The following representation applies to Party 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 xml:space="preserve">Party B is a corporation organized under the laws of the State of Florida </w:t>
      </w:r>
      <w:r>
        <w:rPr>
          <w:sz w:val="22"/>
          <w:u w:val="double"/>
        </w:rPr>
        <w:t>and its U.S. taxpayer identification number is 59-0247775</w:t>
      </w:r>
      <w:r>
        <w:rPr>
          <w:rFonts w:cs="CG Times" w:ascii="CG Times" w:hAnsi="CG Times"/>
          <w:sz w:val="24"/>
        </w:rPr>
        <w:t>.</w:t>
      </w:r>
    </w:p>
    <w:p>
      <w:pPr>
        <w:pStyle w:val="Normal"/>
        <w:widowControl/>
        <w:spacing w:lineRule="exact" w:line="240"/>
        <w:jc w:val="both"/>
        <w:rPr>
          <w:b/>
          <w:sz w:val="22"/>
        </w:rPr>
      </w:pPr>
      <w:r>
        <w:rPr>
          <w:b/>
          <w:sz w:val="22"/>
        </w:rPr>
      </w:r>
    </w:p>
    <w:p>
      <w:pPr>
        <w:pStyle w:val="Normal"/>
        <w:widowControl/>
        <w:spacing w:lineRule="exact" w:line="240"/>
        <w:jc w:val="both"/>
        <w:rPr>
          <w:b/>
          <w:sz w:val="22"/>
        </w:rPr>
      </w:pPr>
      <w:r>
        <w:rPr>
          <w:b/>
          <w:sz w:val="22"/>
        </w:rPr>
      </w:r>
    </w:p>
    <w:p>
      <w:pPr>
        <w:pStyle w:val="Normal"/>
        <w:widowControl/>
        <w:spacing w:lineRule="exact" w:line="240"/>
        <w:jc w:val="both"/>
        <w:rPr>
          <w:sz w:val="22"/>
        </w:rPr>
      </w:pPr>
      <w:r>
        <w:rPr>
          <w:b/>
          <w:sz w:val="22"/>
        </w:rPr>
        <w:t>Part 3.  Agreement to Deliver Documents.</w:t>
      </w:r>
    </w:p>
    <w:p>
      <w:pPr>
        <w:pStyle w:val="Normal"/>
        <w:widowContro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widowControl/>
        <w:spacing w:lineRule="exact" w:line="240" w:before="240" w:after="0"/>
        <w:ind w:firstLine="720" w:end="0"/>
        <w:jc w:val="both"/>
        <w:rPr>
          <w:sz w:val="22"/>
        </w:rPr>
      </w:pPr>
      <w:r>
        <w:rPr>
          <w:sz w:val="22"/>
        </w:rPr>
        <w:t>(a)</w:t>
        <w:tab/>
        <w:t>Tax forms, documents, or certificates to be delivered are:  None.</w:t>
      </w:r>
    </w:p>
    <w:p>
      <w:pPr>
        <w:pStyle w:val="Normal"/>
        <w:widowContro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widowControl/>
              <w:spacing w:lineRule="atLeast" w:line="240" w:before="240" w:after="0"/>
              <w:rPr>
                <w:sz w:val="22"/>
                <w:u w:val="double"/>
              </w:rPr>
            </w:pPr>
            <w:r>
              <w:rPr>
                <w:b/>
                <w:sz w:val="22"/>
                <w:u w:val="double"/>
              </w:rPr>
              <w:t>Party required to deliver document</w:t>
            </w:r>
          </w:p>
        </w:tc>
        <w:tc>
          <w:tcPr>
            <w:tcW w:w="4104" w:type="dxa"/>
            <w:tcBorders/>
          </w:tcPr>
          <w:p>
            <w:pPr>
              <w:pStyle w:val="Normal"/>
              <w:widowControl/>
              <w:spacing w:lineRule="atLeast" w:line="240" w:before="240" w:after="0"/>
              <w:rPr>
                <w:sz w:val="22"/>
                <w:u w:val="double"/>
              </w:rPr>
            </w:pPr>
            <w:r>
              <w:rPr>
                <w:b/>
                <w:sz w:val="22"/>
                <w:u w:val="double"/>
              </w:rPr>
              <w:t>Form/Document/Certificate</w:t>
            </w:r>
          </w:p>
        </w:tc>
        <w:tc>
          <w:tcPr>
            <w:tcW w:w="2340" w:type="dxa"/>
            <w:tcBorders/>
          </w:tcPr>
          <w:p>
            <w:pPr>
              <w:pStyle w:val="Normal"/>
              <w:widowControl/>
              <w:spacing w:lineRule="atLeast" w:line="240" w:before="240" w:after="0"/>
              <w:rPr>
                <w:sz w:val="22"/>
                <w:u w:val="double"/>
              </w:rPr>
            </w:pPr>
            <w:r>
              <w:rPr>
                <w:b/>
                <w:sz w:val="22"/>
                <w:u w:val="double"/>
              </w:rPr>
              <w:t>Date by which to be delivered</w:t>
            </w:r>
          </w:p>
        </w:tc>
        <w:tc>
          <w:tcPr>
            <w:tcW w:w="1926" w:type="dxa"/>
            <w:tcBorders/>
          </w:tcPr>
          <w:p>
            <w:pPr>
              <w:pStyle w:val="Normal"/>
              <w:widowControl/>
              <w:spacing w:lineRule="atLeast" w:line="240" w:before="240" w:after="0"/>
              <w:rPr>
                <w:b/>
                <w:sz w:val="22"/>
              </w:rPr>
            </w:pPr>
            <w:r>
              <w:rPr>
                <w:b/>
                <w:sz w:val="22"/>
                <w:u w:val="double"/>
              </w:rPr>
              <w:t>Covered by Section 3(d) Representation</w:t>
            </w:r>
          </w:p>
          <w:p>
            <w:pPr>
              <w:pStyle w:val="Normal"/>
              <w:widowControl/>
              <w:spacing w:lineRule="atLeast" w:line="240" w:before="240" w:after="0"/>
              <w:rPr>
                <w:b/>
                <w:sz w:val="22"/>
              </w:rPr>
            </w:pPr>
            <w:r>
              <w:rPr>
                <w:b/>
                <w:sz w:val="22"/>
              </w:rPr>
              <w:t xml:space="preserve"> </w:t>
            </w:r>
            <w:r>
              <w:rPr>
                <w:b/>
                <w:strike/>
                <w:sz w:val="22"/>
              </w:rPr>
              <w:t>Party required to deliver document Form/Document/Certificate Date by which to be delivered Covered by Section 3(d) Representation</w:t>
            </w:r>
          </w:p>
          <w:p>
            <w:pPr>
              <w:pStyle w:val="Normal"/>
              <w:widowControl/>
              <w:spacing w:lineRule="atLeast" w:line="240"/>
              <w:rPr>
                <w:b/>
                <w:sz w:val="22"/>
              </w:rPr>
            </w:pPr>
            <w:r>
              <w:rPr>
                <w:b/>
                <w:sz w:val="22"/>
              </w:rPr>
            </w:r>
          </w:p>
        </w:tc>
      </w:tr>
      <w:tr>
        <w:trPr/>
        <w:tc>
          <w:tcPr>
            <w:tcW w:w="1926" w:type="dxa"/>
            <w:tcBorders/>
          </w:tcPr>
          <w:p>
            <w:pPr>
              <w:pStyle w:val="Normal"/>
              <w:widowContro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widowControl/>
              <w:spacing w:lineRule="atLeast" w:line="240" w:before="240" w:after="0"/>
              <w:jc w:val="both"/>
              <w:rPr>
                <w:b/>
                <w:sz w:val="22"/>
              </w:rPr>
            </w:pPr>
            <w:r>
              <w:rPr>
                <w:sz w:val="22"/>
              </w:rPr>
              <w:t>At execution of this Master Agreement</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A</w:t>
            </w:r>
          </w:p>
        </w:tc>
        <w:tc>
          <w:tcPr>
            <w:tcW w:w="4104"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b/>
                <w:sz w:val="22"/>
              </w:rPr>
            </w:pPr>
            <w:r>
              <w:rPr>
                <w:sz w:val="22"/>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widowControl/>
              <w:spacing w:lineRule="atLeast" w:line="240" w:before="240" w:after="0"/>
              <w:jc w:val="both"/>
              <w:rPr>
                <w:sz w:val="22"/>
              </w:rPr>
            </w:pPr>
            <w:r>
              <w:rPr>
                <w:sz w:val="22"/>
              </w:rPr>
              <w:t>Party B</w:t>
            </w:r>
          </w:p>
        </w:tc>
        <w:tc>
          <w:tcPr>
            <w:tcW w:w="4104" w:type="dxa"/>
            <w:tcBorders/>
          </w:tcPr>
          <w:p>
            <w:pPr>
              <w:pStyle w:val="Normal"/>
              <w:widowControl/>
              <w:spacing w:lineRule="atLeast" w:line="240" w:before="240" w:after="0"/>
              <w:jc w:val="both"/>
              <w:rPr>
                <w:sz w:val="22"/>
              </w:rPr>
            </w:pPr>
            <w:r>
              <w:rPr>
                <w:sz w:val="22"/>
              </w:rPr>
              <w:t>Quarterly Unaudited Consolidated Financial Statement of Party B</w:t>
            </w:r>
          </w:p>
        </w:tc>
        <w:tc>
          <w:tcPr>
            <w:tcW w:w="2340" w:type="dxa"/>
            <w:tcBorders/>
          </w:tcPr>
          <w:p>
            <w:pPr>
              <w:pStyle w:val="Normal"/>
              <w:widowContro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widowControl/>
              <w:spacing w:lineRule="atLeast" w:line="240" w:before="240" w:after="0"/>
              <w:jc w:val="both"/>
              <w:rPr>
                <w:sz w:val="22"/>
              </w:rPr>
            </w:pPr>
            <w:r>
              <w:rPr>
                <w:sz w:val="22"/>
              </w:rPr>
              <w:t>Yes</w:t>
            </w:r>
          </w:p>
        </w:tc>
      </w:tr>
    </w:tbl>
    <w:p>
      <w:pPr>
        <w:pStyle w:val="Normal"/>
        <w:widowControl/>
        <w:spacing w:lineRule="exact" w:line="240" w:before="480" w:after="0"/>
        <w:jc w:val="both"/>
        <w:rPr>
          <w:b/>
          <w:sz w:val="22"/>
        </w:rPr>
      </w:pPr>
      <w:r>
        <w:rPr>
          <w:b/>
          <w:sz w:val="22"/>
        </w:rPr>
      </w:r>
    </w:p>
    <w:p>
      <w:pPr>
        <w:pStyle w:val="Normal"/>
        <w:widowControl/>
        <w:spacing w:lineRule="exact" w:line="240" w:before="480" w:after="0"/>
        <w:jc w:val="both"/>
        <w:rPr>
          <w:b/>
          <w:sz w:val="22"/>
        </w:rPr>
      </w:pPr>
      <w:r>
        <w:rPr>
          <w:b/>
          <w:sz w:val="22"/>
        </w:rPr>
        <w:t>Part 4.  Miscellaneous.</w:t>
      </w:r>
    </w:p>
    <w:p>
      <w:pPr>
        <w:pStyle w:val="Normal"/>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pacing w:lineRule="exact" w:line="240" w:before="240" w:after="0"/>
        <w:ind w:hanging="720" w:start="720" w:end="0"/>
        <w:jc w:val="both"/>
        <w:rPr>
          <w:sz w:val="22"/>
        </w:rPr>
      </w:pPr>
      <w:r>
        <w:rPr>
          <w:sz w:val="22"/>
        </w:rPr>
        <w:t>Address for notices or communications to Party A:</w:t>
      </w:r>
    </w:p>
    <w:p>
      <w:pPr>
        <w:pStyle w:val="Normal"/>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widowControl/>
              <w:tabs>
                <w:tab w:val="left" w:pos="720" w:leader="none"/>
                <w:tab w:val="right" w:pos="9360" w:leader="dot"/>
              </w:tabs>
              <w:spacing w:lineRule="exact" w:line="240"/>
              <w:jc w:val="both"/>
              <w:rPr>
                <w:sz w:val="22"/>
              </w:rPr>
            </w:pPr>
            <w:r>
              <w:rPr>
                <w:sz w:val="22"/>
              </w:rPr>
            </w:r>
          </w:p>
        </w:tc>
        <w:tc>
          <w:tcPr>
            <w:tcW w:w="4140" w:type="dxa"/>
            <w:tcBorders/>
          </w:tcPr>
          <w:p>
            <w:pPr>
              <w:pStyle w:val="Normal"/>
              <w:widowControl/>
              <w:tabs>
                <w:tab w:val="clear" w:pos="720"/>
                <w:tab w:val="left" w:pos="4230" w:leader="none"/>
                <w:tab w:val="left" w:pos="9360" w:leader="none"/>
              </w:tabs>
              <w:spacing w:lineRule="exact" w:line="240"/>
              <w:jc w:val="both"/>
              <w:rPr>
                <w:sz w:val="22"/>
              </w:rPr>
            </w:pPr>
            <w:r>
              <w:rPr>
                <w:sz w:val="22"/>
              </w:rPr>
              <w:t>Enron North America Corp.</w:t>
            </w:r>
          </w:p>
          <w:p>
            <w:pPr>
              <w:pStyle w:val="Normal"/>
              <w:widowControl/>
              <w:tabs>
                <w:tab w:val="clear" w:pos="720"/>
                <w:tab w:val="left" w:pos="4230" w:leader="none"/>
                <w:tab w:val="left" w:pos="9360" w:leader="none"/>
              </w:tabs>
              <w:spacing w:lineRule="exact" w:line="240"/>
              <w:jc w:val="both"/>
              <w:rPr>
                <w:sz w:val="22"/>
              </w:rPr>
            </w:pPr>
            <w:r>
              <w:rPr>
                <w:sz w:val="22"/>
              </w:rPr>
              <w:t>P.O. Box 4428</w:t>
            </w:r>
          </w:p>
          <w:p>
            <w:pPr>
              <w:pStyle w:val="Normal"/>
              <w:widowControl/>
              <w:tabs>
                <w:tab w:val="clear" w:pos="720"/>
                <w:tab w:val="left" w:pos="4230" w:leader="none"/>
                <w:tab w:val="left" w:pos="9360" w:leader="none"/>
              </w:tabs>
              <w:spacing w:lineRule="exact" w:line="240"/>
              <w:jc w:val="both"/>
              <w:rPr>
                <w:sz w:val="22"/>
              </w:rPr>
            </w:pPr>
            <w:r>
              <w:rPr>
                <w:sz w:val="22"/>
              </w:rPr>
              <w:t>Houston, Texas  77210-4428</w:t>
            </w:r>
          </w:p>
          <w:p>
            <w:pPr>
              <w:pStyle w:val="Normal"/>
              <w:widowControl/>
              <w:tabs>
                <w:tab w:val="clear" w:pos="720"/>
                <w:tab w:val="left" w:pos="4230" w:leader="none"/>
                <w:tab w:val="left" w:pos="9360" w:leader="none"/>
              </w:tabs>
              <w:spacing w:lineRule="exact" w:line="240"/>
              <w:jc w:val="both"/>
              <w:rPr>
                <w:sz w:val="22"/>
              </w:rPr>
            </w:pPr>
            <w:r>
              <w:rPr>
                <w:sz w:val="22"/>
              </w:rPr>
              <w:t>1400 Smith Street</w:t>
            </w:r>
          </w:p>
          <w:p>
            <w:pPr>
              <w:pStyle w:val="Normal"/>
              <w:widowContro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trike/>
                <w:sz w:val="22"/>
              </w:rPr>
            </w:pPr>
            <w:r>
              <w:rPr>
                <w:strike/>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trike/>
                <w:sz w:val="22"/>
              </w:rPr>
              <w:t xml:space="preserve">(for courier delivery) </w:t>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pPr>
            <w:r>
              <w:rPr>
                <w:sz w:val="22"/>
              </w:rPr>
              <w:t>Florida Power &amp; Light Company</w:t>
            </w:r>
            <w:r>
              <w:rPr>
                <w:sz w:val="22"/>
                <w:u w:val="double"/>
              </w:rPr>
              <w:t xml:space="preserve">, </w:t>
            </w:r>
          </w:p>
          <w:p>
            <w:pPr>
              <w:pStyle w:val="Normal"/>
              <w:keepNext w:val="true"/>
              <w:widowControl/>
              <w:tabs>
                <w:tab w:val="clear" w:pos="720"/>
                <w:tab w:val="left" w:pos="3762" w:leader="none"/>
                <w:tab w:val="left" w:pos="4230" w:leader="none"/>
                <w:tab w:val="left" w:pos="9360" w:leader="none"/>
              </w:tabs>
              <w:spacing w:lineRule="exact" w:line="240"/>
              <w:jc w:val="both"/>
              <w:rPr/>
            </w:pPr>
            <w:r>
              <w:rPr>
                <w:rStyle w:val="FOOTNOTETEX"/>
                <w:rFonts w:cs="Times New Roman"/>
                <w:sz w:val="22"/>
                <w:u w:val="double"/>
              </w:rPr>
              <w:t>c/o Energy Marketing &amp; Trading Division, 11770 U.S. Highway One,</w:t>
            </w:r>
            <w:r>
              <w:rPr>
                <w:rStyle w:val="FOOTNOTETEX"/>
                <w:rFonts w:cs="Times New Roman"/>
                <w:sz w:val="22"/>
              </w:rPr>
              <w:t xml:space="preserve"> </w:t>
            </w:r>
            <w:r>
              <w:rPr>
                <w:rStyle w:val="FOOTNOTETEX"/>
                <w:rFonts w:cs="Times New Roman"/>
                <w:strike/>
                <w:sz w:val="22"/>
              </w:rPr>
              <w:t>P. O. Box 88825</w:t>
            </w:r>
            <w:r>
              <w:rPr>
                <w:rStyle w:val="FOOTNOTETEX"/>
                <w:rFonts w:cs="Times New Roman"/>
                <w:sz w:val="22"/>
              </w:rPr>
              <w:t xml:space="preserve"> </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trike/>
                <w:sz w:val="22"/>
              </w:rPr>
              <w:t>_________________________________</w:t>
            </w:r>
          </w:p>
          <w:p>
            <w:pPr>
              <w:pStyle w:val="Normal"/>
              <w:keepNext w:val="true"/>
              <w:widowControl/>
              <w:tabs>
                <w:tab w:val="clear" w:pos="720"/>
                <w:tab w:val="left" w:pos="3762" w:leader="none"/>
                <w:tab w:val="left" w:pos="4230" w:leader="none"/>
                <w:tab w:val="left" w:pos="9360" w:leader="none"/>
              </w:tabs>
              <w:spacing w:lineRule="exact" w:line="240"/>
              <w:jc w:val="both"/>
              <w:rPr>
                <w:sz w:val="22"/>
                <w:u w:val="double"/>
              </w:rPr>
            </w:pPr>
            <w:r>
              <w:rPr>
                <w:sz w:val="22"/>
                <w:u w:val="double"/>
              </w:rPr>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rStyle w:val="FOOTNOTETEX"/>
                <w:rFonts w:cs="Times New Roman"/>
                <w:sz w:val="22"/>
                <w:u w:val="double"/>
              </w:rPr>
              <w:t>Facsimile No.: (561) 625-7504</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trike/>
                <w:sz w:val="22"/>
              </w:rPr>
              <w:t>_________________________________</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u w:val="double"/>
              </w:rPr>
            </w:pPr>
            <w:r>
              <w:rPr>
                <w:sz w:val="22"/>
                <w:u w:val="double"/>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Style w:val="FOOTNOTETEX"/>
          <w:rFonts w:cs="Times New Roman"/>
          <w:sz w:val="22"/>
        </w:rPr>
        <w:t xml:space="preserve"> </w:t>
      </w:r>
      <w:r>
        <w:rPr>
          <w:rStyle w:val="FOOTNOTETEX"/>
          <w:rFonts w:cs="Times New Roman"/>
          <w:strike/>
          <w:sz w:val="22"/>
        </w:rPr>
        <w:t>Attn.: ____________________________ Facsimile No.: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Style w:val="FOOTNOTETEX"/>
          <w:rFonts w:cs="Times New Roman"/>
          <w:sz w:val="22"/>
          <w:u w:val="double"/>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Style w:val="FOOTNOTETEX"/>
          <w:rFonts w:cs="Times New Roman"/>
          <w:sz w:val="22"/>
        </w:rPr>
        <w:t xml:space="preserve"> </w:t>
      </w:r>
      <w:r>
        <w:rPr>
          <w:rStyle w:val="FOOTNOTETEX"/>
          <w:rFonts w:cs="Times New Roman"/>
          <w:strike/>
          <w:sz w:val="22"/>
        </w:rPr>
        <w:t xml:space="preserve">Telephone No.:  </w:t>
      </w:r>
    </w:p>
    <w:p>
      <w:pPr>
        <w:pStyle w:val="Normal"/>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sz w:val="22"/>
        </w:rPr>
      </w:pPr>
      <w:r>
        <w:rPr>
          <w:sz w:val="22"/>
        </w:rPr>
        <w:t>(c)</w:t>
        <w:tab/>
      </w:r>
      <w:r>
        <w:rPr>
          <w:b/>
          <w:sz w:val="22"/>
        </w:rPr>
        <w:t>Calculation Agent.</w:t>
      </w:r>
      <w:r>
        <w:rPr>
          <w:sz w:val="22"/>
        </w:rPr>
        <w:t xml:space="preserve">  The Calculation Agent </w:t>
      </w:r>
      <w:r>
        <w:rPr>
          <w:rStyle w:val="FOOTNOTETEX"/>
          <w:strike/>
          <w:sz w:val="24"/>
        </w:rPr>
        <w:t>is Party A.</w:t>
      </w:r>
      <w:r>
        <w:rPr>
          <w:rStyle w:val="FOOTNOTETEX"/>
          <w:sz w:val="24"/>
        </w:rPr>
        <w:t xml:space="preserve"> </w:t>
      </w:r>
      <w:r>
        <w:rPr>
          <w:rStyle w:val="FOOTNOTETEX"/>
          <w:sz w:val="24"/>
          <w:u w:val="double"/>
        </w:rPr>
        <w:t xml:space="preserve">will be </w:t>
      </w:r>
      <w:r>
        <w:rPr>
          <w:sz w:val="22"/>
          <w:u w:val="double"/>
        </w:rPr>
        <w:t xml:space="preserve">Party A, </w:t>
      </w:r>
      <w:r>
        <w:rPr>
          <w:rStyle w:val="FOOTNOTETEX"/>
          <w:sz w:val="24"/>
          <w:u w:val="double"/>
        </w:rPr>
        <w:t>unless Party A is a Defaulting Party, in which case the Calculation Agent will be Party B</w:t>
      </w:r>
      <w:r>
        <w:rPr>
          <w:sz w:val="22"/>
          <w:u w:val="double"/>
        </w:rPr>
        <w:t>.</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trike/>
          <w:sz w:val="22"/>
        </w:rPr>
        <w:t>Section 2(c)(ii) will not apply to all Transactions</w:t>
      </w:r>
      <w:r>
        <w:rPr>
          <w:rStyle w:val="FOOTNOTETEX"/>
          <w:rFonts w:cs="Times New Roman"/>
          <w:sz w:val="22"/>
        </w:rPr>
        <w:t xml:space="preserve"> </w:t>
      </w:r>
      <w:r>
        <w:rPr>
          <w:rStyle w:val="FOOTNOTETEX"/>
          <w:rFonts w:cs="Times New Roman"/>
          <w:sz w:val="22"/>
          <w:u w:val="double"/>
        </w:rPr>
        <w:t>The limitation set forth in subparagraph (ii) of Section 2(c) of this Agreement will not apply and netting pursuant to Section 2(c) will apply across all Transactions under this Agreement</w:t>
      </w:r>
      <w:r>
        <w:rPr>
          <w:rStyle w:val="FOOTNOTETEX"/>
          <w:rFonts w:cs="Times New Roman"/>
          <w:sz w:val="22"/>
        </w:rPr>
        <w:t xml:space="preserve">. </w:t>
      </w:r>
    </w:p>
    <w:p>
      <w:pPr>
        <w:pStyle w:val="Normal"/>
        <w:widowControl/>
        <w:spacing w:lineRule="exact" w:line="240" w:before="240" w:after="0"/>
        <w:ind w:firstLine="720" w:end="0"/>
        <w:jc w:val="both"/>
        <w:rPr/>
      </w:pPr>
      <w:r>
        <w:rPr>
          <w:sz w:val="22"/>
        </w:rPr>
        <w:t>(g)</w:t>
        <w:tab/>
      </w:r>
      <w:r>
        <w:rPr>
          <w:b/>
          <w:sz w:val="22"/>
        </w:rPr>
        <w:t xml:space="preserve">Governing Law.  This Agreement and each Confirmation will be governed by, and construed, interpreted, and enforced in accordance with, the substantive law of the State of </w:t>
      </w:r>
      <w:r>
        <w:rPr>
          <w:b/>
          <w:strike/>
          <w:sz w:val="22"/>
        </w:rPr>
        <w:t>Texas</w:t>
      </w:r>
      <w:r>
        <w:rPr>
          <w:b/>
          <w:sz w:val="22"/>
        </w:rPr>
        <w:t xml:space="preserve"> </w:t>
      </w:r>
      <w:r>
        <w:rPr>
          <w:b/>
          <w:sz w:val="22"/>
          <w:u w:val="double"/>
        </w:rPr>
        <w:t>New York</w:t>
      </w:r>
      <w:r>
        <w:rPr>
          <w:b/>
          <w:sz w:val="22"/>
        </w:rPr>
        <w:t xml:space="preserve"> (without reference to its choice of law doctrine).</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hanging="720" w:start="720" w:end="0"/>
        <w:jc w:val="both"/>
        <w:rPr>
          <w:sz w:val="22"/>
        </w:rPr>
      </w:pPr>
      <w:r>
        <w:rPr>
          <w:strike/>
          <w:sz w:val="22"/>
        </w:rPr>
        <w:t>(b)</w:t>
      </w:r>
    </w:p>
    <w:p>
      <w:pPr>
        <w:pStyle w:val="Normal"/>
        <w:widowControl/>
        <w:ind w:start="720" w:end="0"/>
        <w:jc w:val="both"/>
        <w:rPr/>
      </w:pPr>
      <w:r>
        <w:rPr>
          <w:sz w:val="22"/>
          <w:u w:val="double"/>
        </w:rPr>
        <w:t>“</w:t>
      </w:r>
      <w:r>
        <w:rPr>
          <w:sz w:val="22"/>
          <w:u w:val="double"/>
        </w:rPr>
        <w:t>(b)</w:t>
      </w:r>
      <w:r>
        <w:rPr>
          <w:sz w:val="22"/>
        </w:rPr>
        <w:tab/>
      </w:r>
      <w:r>
        <w:rPr>
          <w:b/>
          <w:sz w:val="22"/>
        </w:rPr>
        <w:t xml:space="preserve">Agreement </w:t>
      </w:r>
      <w:r>
        <w:rPr>
          <w:b/>
          <w:strike/>
          <w:sz w:val="22"/>
        </w:rPr>
        <w:t>To</w:t>
      </w:r>
      <w:r>
        <w:rPr>
          <w:b/>
          <w:sz w:val="22"/>
        </w:rPr>
        <w:t xml:space="preserve"> </w:t>
      </w:r>
      <w:r>
        <w:rPr>
          <w:b/>
          <w:sz w:val="22"/>
          <w:u w:val="double"/>
        </w:rPr>
        <w:t>to Mediate and</w:t>
      </w:r>
      <w:r>
        <w:rPr>
          <w:b/>
          <w:sz w:val="22"/>
        </w:rPr>
        <w:t xml:space="preserve">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w:t>
      </w:r>
      <w:r>
        <w:rPr>
          <w:sz w:val="22"/>
          <w:u w:val="double"/>
        </w:rPr>
        <w:t>mediation or</w:t>
      </w:r>
      <w:r>
        <w:rPr>
          <w:sz w:val="22"/>
        </w:rPr>
        <w:t xml:space="preserve"> binding arbitration.</w:t>
      </w:r>
    </w:p>
    <w:p>
      <w:pPr>
        <w:pStyle w:val="Normal"/>
        <w:widowControl/>
        <w:jc w:val="both"/>
        <w:rPr>
          <w:sz w:val="22"/>
        </w:rPr>
      </w:pPr>
      <w:r>
        <w:rPr>
          <w:sz w:val="22"/>
        </w:rPr>
      </w:r>
    </w:p>
    <w:p>
      <w:pPr>
        <w:pStyle w:val="Normal"/>
        <w:widowControl/>
        <w:tabs>
          <w:tab w:val="clear" w:pos="720"/>
          <w:tab w:val="left" w:pos="1800" w:leader="none"/>
          <w:tab w:val="left" w:pos="3060" w:leader="none"/>
        </w:tabs>
        <w:ind w:start="720" w:end="0"/>
        <w:jc w:val="both"/>
        <w:rPr/>
      </w:pPr>
      <w:r>
        <w:rPr>
          <w:b/>
          <w:sz w:val="22"/>
          <w:u w:val="double"/>
        </w:rPr>
        <w:t xml:space="preserve">Mediation. </w:t>
      </w:r>
      <w:r>
        <w:rPr>
          <w:sz w:val="22"/>
        </w:rPr>
        <w:tab/>
      </w:r>
      <w:r>
        <w:rPr>
          <w:sz w:val="22"/>
          <w:u w:val="double"/>
        </w:rPr>
        <w:t>If the parties to the dispute are unable to resolve a dispute or claim by good faith negotiations within thirty (30) days after the dispute arises, the parties to such dispute shall attempt in good faith to resolve the dispute by mediation pursuant to the American Arbitration Association ("AAA") Commercial Mediation Rules then in effect.  Such mediation shall be commenced by delivery of a notice of dispute by any party to such dispute to the other party, which notice shall set forth in reasonable detail a statement of the dispute and the facts and/or documents relating to such alleged dispute.  If such parties are unable to agree on a mediator, the mediator shall be selected pursuant to the AAA Commercial Mediation Rules.  If the dispute or claim has not been resolved by mediation within thirty (30) days of the initiation thereof, the dispute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 xml:space="preserve">Arbitration shall be governed by the Federal Arbitration Act </w:t>
      </w:r>
      <w:r>
        <w:rPr>
          <w:sz w:val="22"/>
          <w:u w:val="double"/>
        </w:rPr>
        <w:t>(Title 9 of the U.S. Code)</w:t>
      </w:r>
      <w:r>
        <w:rPr>
          <w:sz w:val="22"/>
        </w:rPr>
        <w:t xml:space="preserve"> and conducted in accordance with the </w:t>
      </w:r>
      <w:r>
        <w:rPr>
          <w:sz w:val="22"/>
          <w:u w:val="double"/>
        </w:rPr>
        <w:t>AAA</w:t>
      </w:r>
      <w:r>
        <w:rPr>
          <w:sz w:val="22"/>
        </w:rPr>
        <w:t xml:space="preserve"> Commercial Arbitration Rules </w:t>
      </w:r>
      <w:r>
        <w:rPr>
          <w:strike/>
          <w:sz w:val="22"/>
        </w:rPr>
        <w:t>of the American Arbitration Association</w:t>
      </w:r>
      <w:r>
        <w:rPr>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w:t>
      </w:r>
      <w:r>
        <w:rPr>
          <w:strike/>
          <w:sz w:val="22"/>
        </w:rPr>
        <w:t>,</w:t>
      </w:r>
      <w:r>
        <w:rPr>
          <w:sz w:val="22"/>
        </w:rPr>
        <w:t xml:space="preserve"> or under the </w:t>
      </w:r>
      <w:r>
        <w:rPr>
          <w:strike/>
          <w:sz w:val="22"/>
        </w:rPr>
        <w:t>Federal Arbitration Act, or under the</w:t>
      </w:r>
      <w:r>
        <w:rPr>
          <w:sz w:val="22"/>
        </w:rPr>
        <w:t xml:space="preserve"> </w:t>
      </w:r>
      <w:r>
        <w:rPr>
          <w:sz w:val="22"/>
          <w:u w:val="double"/>
        </w:rPr>
        <w:t>AAA</w:t>
      </w:r>
      <w:r>
        <w:rPr>
          <w:sz w:val="22"/>
        </w:rPr>
        <w:t xml:space="preserve"> Commercial Arbitration Rules </w:t>
      </w:r>
      <w:r>
        <w:rPr>
          <w:strike/>
          <w:sz w:val="22"/>
        </w:rPr>
        <w:t>of the American Arbitration Association</w:t>
      </w:r>
      <w:r>
        <w:rPr>
          <w:sz w:val="22"/>
        </w:rPr>
        <w:t>,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w:t>
      </w:r>
      <w:r>
        <w:rPr>
          <w:strike/>
          <w:sz w:val="22"/>
        </w:rPr>
        <w:t>The</w:t>
      </w:r>
      <w:r>
        <w:rPr>
          <w:sz w:val="22"/>
        </w:rPr>
        <w:t xml:space="preserve"> </w:t>
      </w:r>
      <w:r>
        <w:rPr>
          <w:sz w:val="22"/>
          <w:u w:val="double"/>
        </w:rPr>
        <w:t>Any</w:t>
      </w:r>
      <w:r>
        <w:rPr>
          <w:sz w:val="22"/>
        </w:rPr>
        <w:t xml:space="preserve"> arbitration proceeding shall be conducted </w:t>
      </w:r>
      <w:r>
        <w:rPr>
          <w:strike/>
          <w:sz w:val="22"/>
        </w:rPr>
        <w:t xml:space="preserve">in Houston, Texas. Within thirty </w:t>
      </w:r>
      <w:r>
        <w:rPr>
          <w:sz w:val="22"/>
          <w:u w:val="double"/>
        </w:rPr>
        <w:t>solely on written submissions by the parties unless the arbitrators determine other proceedings are required under the circumstances.  Within thirty (30)</w:t>
      </w:r>
      <w:r>
        <w:rPr>
          <w:sz w:val="22"/>
        </w:rPr>
        <w:t xml:space="preserve"> days of the notice of initiation of the arbitration procedure, each party shall select one arbitrator.  The two arbitrators shall </w:t>
      </w:r>
      <w:r>
        <w:rPr>
          <w:sz w:val="22"/>
          <w:u w:val="double"/>
        </w:rPr>
        <w:t>promptly</w:t>
      </w:r>
      <w:r>
        <w:rPr>
          <w:sz w:val="22"/>
        </w:rPr>
        <w:t xml:space="preserve"> select a third arbitrator.  The third arbitrator shall be a person who has over eight years professional experience in over-the-counter derivative products </w:t>
      </w:r>
      <w:r>
        <w:rPr>
          <w:strike/>
          <w:sz w:val="22"/>
        </w:rPr>
        <w:t>and</w:t>
      </w:r>
      <w:r>
        <w:rPr>
          <w:sz w:val="22"/>
          <w:u w:val="double"/>
        </w:rPr>
        <w:t>,</w:t>
      </w:r>
      <w:r>
        <w:rPr>
          <w:sz w:val="22"/>
        </w:rPr>
        <w:t xml:space="preserve"> who has not previously been employed by </w:t>
      </w:r>
      <w:r>
        <w:rPr>
          <w:strike/>
          <w:sz w:val="22"/>
        </w:rPr>
        <w:t>either</w:t>
      </w:r>
      <w:r>
        <w:rPr>
          <w:sz w:val="22"/>
        </w:rPr>
        <w:t xml:space="preserve"> </w:t>
      </w:r>
      <w:r>
        <w:rPr>
          <w:sz w:val="22"/>
          <w:u w:val="double"/>
        </w:rPr>
        <w:t>any</w:t>
      </w:r>
      <w:r>
        <w:rPr>
          <w:sz w:val="22"/>
        </w:rPr>
        <w:t xml:space="preserve"> party and </w:t>
      </w:r>
      <w:r>
        <w:rPr>
          <w:strike/>
          <w:sz w:val="22"/>
        </w:rPr>
        <w:t>does not have a</w:t>
      </w:r>
      <w:r>
        <w:rPr>
          <w:sz w:val="22"/>
        </w:rPr>
        <w:t xml:space="preserve"> </w:t>
      </w:r>
      <w:r>
        <w:rPr>
          <w:sz w:val="22"/>
          <w:u w:val="double"/>
        </w:rPr>
        <w:t>who has no</w:t>
      </w:r>
      <w:r>
        <w:rPr>
          <w:sz w:val="22"/>
        </w:rPr>
        <w:t xml:space="preserve"> direct or indirect interest in </w:t>
      </w:r>
      <w:r>
        <w:rPr>
          <w:strike/>
          <w:sz w:val="22"/>
        </w:rPr>
        <w:t xml:space="preserve">either party </w:t>
      </w:r>
      <w:r>
        <w:rPr>
          <w:sz w:val="22"/>
          <w:u w:val="double"/>
        </w:rPr>
        <w:t>any party, any Credit Support Provider thereof,</w:t>
      </w:r>
      <w:r>
        <w:rPr>
          <w:sz w:val="22"/>
        </w:rPr>
        <w:t xml:space="preserv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ind w:start="720" w:end="0"/>
        <w:jc w:val="both"/>
        <w:rPr>
          <w:b/>
          <w:sz w:val="22"/>
        </w:rPr>
      </w:pPr>
      <w:r>
        <w:rPr>
          <w:b/>
          <w:sz w:val="22"/>
        </w:rPr>
      </w:r>
    </w:p>
    <w:p>
      <w:pPr>
        <w:pStyle w:val="Normal"/>
        <w:widowControl/>
        <w:tabs>
          <w:tab w:val="left" w:pos="720" w:leader="none"/>
          <w:tab w:val="left" w:pos="2610" w:leader="none"/>
        </w:tabs>
        <w:ind w:start="720" w:end="0"/>
        <w:jc w:val="both"/>
        <w:rPr/>
      </w:pPr>
      <w:r>
        <w:rPr>
          <w:b/>
          <w:sz w:val="22"/>
          <w:u w:val="double"/>
        </w:rPr>
        <w:t xml:space="preserve">Shared Costs; No Waivers Implied: </w:t>
      </w:r>
      <w:r>
        <w:rPr>
          <w:sz w:val="22"/>
          <w:u w:val="double"/>
        </w:rPr>
        <w:t>Each party to the dispute shall bear its own costs and attorneys’ fees, and shall divide equally with the other party the costs of the mediator, arbitrators and any hearing expenses in connection with any mediation or arbitration pursuant to the provisions above.  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widowContro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u w:val="double"/>
        </w:rPr>
      </w:pPr>
      <w:r>
        <w:rPr>
          <w:b/>
          <w:sz w:val="22"/>
          <w:u w:val="double"/>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u w:val="double"/>
        </w:rPr>
        <w:t xml:space="preserve">(i) </w:t>
      </w:r>
      <w:r>
        <w:rPr>
          <w:rStyle w:val="FOOTNOTETEX"/>
          <w:rFonts w:cs="Times New Roman"/>
          <w:sz w:val="22"/>
        </w:rPr>
        <w:tab/>
      </w:r>
      <w:r>
        <w:rPr>
          <w:rStyle w:val="FOOTNOTETEX"/>
          <w:rFonts w:cs="Times New Roman"/>
          <w:b/>
          <w:sz w:val="22"/>
          <w:u w:val="double"/>
        </w:rPr>
        <w:t>Existing Transactions</w:t>
      </w:r>
      <w:r>
        <w:rPr>
          <w:rStyle w:val="FOOTNOTETEX"/>
          <w:rFonts w:cs="Times New Roman"/>
          <w:sz w:val="22"/>
          <w:u w:val="double"/>
        </w:rPr>
        <w:t xml:space="preserve">. </w:t>
      </w:r>
      <w:r>
        <w:rPr>
          <w:sz w:val="22"/>
          <w:u w:val="double"/>
        </w:rPr>
        <w:t>Section 1(c) of the Agreement is amended by adding t</w:t>
      </w:r>
      <w:r>
        <w:rPr>
          <w:rStyle w:val="FOOTNOTETEX"/>
          <w:rFonts w:cs="Times New Roman"/>
          <w:sz w:val="22"/>
          <w:u w:val="double"/>
        </w:rPr>
        <w:t xml:space="preserve">he </w:t>
      </w:r>
      <w:r>
        <w:rPr>
          <w:sz w:val="22"/>
          <w:u w:val="double"/>
        </w:rPr>
        <w:t xml:space="preserve">phrase "(evidencing Transactions heretofore or hereafter entered into between Party A and Party B)" after the word "Confirmations". </w:t>
      </w:r>
    </w:p>
    <w:p>
      <w:pPr>
        <w:pStyle w:val="Normal"/>
        <w:widowControl/>
        <w:spacing w:lineRule="exact" w:line="240" w:before="480" w:after="0"/>
        <w:jc w:val="both"/>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w:t>
      </w:r>
      <w:r>
        <w:rPr>
          <w:strike/>
          <w:sz w:val="22"/>
        </w:rPr>
        <w:t>(1993)</w:t>
      </w:r>
      <w:r>
        <w:rPr>
          <w:sz w:val="22"/>
          <w:u w:val="double"/>
        </w:rPr>
        <w:t>(1999), as amended</w:t>
      </w:r>
      <w:r>
        <w:rPr>
          <w:sz w:val="22"/>
        </w:rPr>
        <w:t>.</w:t>
      </w:r>
    </w:p>
    <w:p>
      <w:pPr>
        <w:pStyle w:val="Normal"/>
        <w:widowContro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 w:hAnsi="CG Times" w:cs="CG Times"/>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r>
        <w:rPr>
          <w:sz w:val="22"/>
          <w:u w:val="double"/>
        </w:rPr>
        <w:t xml:space="preserve">  The transferability of this Agreement, such Credit Support Document, and such Transaction are limited and restricted as provided herein and therein.</w:t>
      </w:r>
    </w:p>
    <w:p>
      <w:pPr>
        <w:pStyle w:val="Normal"/>
        <w:widowContro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w:t>
      </w:r>
      <w:r>
        <w:rPr>
          <w:strike/>
          <w:sz w:val="22"/>
        </w:rPr>
        <w:t>assurance, guarantee,</w:t>
      </w:r>
      <w:r>
        <w:rPr>
          <w:sz w:val="22"/>
        </w:rPr>
        <w:t xml:space="preserve"> or representation whatsoever as to the expected or projected success, profitability, return, </w:t>
      </w:r>
      <w:r>
        <w:rPr>
          <w:strike/>
          <w:sz w:val="22"/>
        </w:rPr>
        <w:t>performance,</w:t>
      </w:r>
      <w:r>
        <w:rPr>
          <w:sz w:val="22"/>
        </w:rPr>
        <w:t xml:space="preserv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jc w:val="both"/>
        <w:rPr>
          <w:b/>
          <w:sz w:val="22"/>
        </w:rPr>
      </w:pPr>
      <w:r>
        <w:rPr>
          <w:b/>
          <w:sz w:val="22"/>
        </w:rPr>
      </w:r>
    </w:p>
    <w:p>
      <w:pPr>
        <w:pStyle w:val="Normal"/>
        <w:widowControl/>
        <w:numPr>
          <w:ilvl w:val="0"/>
          <w:numId w:val="12"/>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u w:val="double"/>
        </w:rPr>
        <w:t>GAAP</w:t>
      </w:r>
      <w:r>
        <w:rPr>
          <w:sz w:val="22"/>
          <w:u w:val="double"/>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trike/>
          <w:sz w:val="22"/>
        </w:rPr>
        <w:t>(c)</w:t>
      </w:r>
    </w:p>
    <w:p>
      <w:pPr>
        <w:pStyle w:val="Normal"/>
        <w:widowControl/>
        <w:numPr>
          <w:ilvl w:val="0"/>
          <w:numId w:val="8"/>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trike/>
          <w:sz w:val="22"/>
        </w:rPr>
        <w:t>(d)</w:t>
      </w:r>
    </w:p>
    <w:p>
      <w:pPr>
        <w:pStyle w:val="Normal"/>
        <w:widowControl/>
        <w:numPr>
          <w:ilvl w:val="0"/>
          <w:numId w:val="11"/>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w:t>
      </w:r>
      <w:r>
        <w:rPr>
          <w:b/>
          <w:sz w:val="22"/>
          <w:u w:val="double"/>
        </w:rPr>
        <w:t>; Inconsistency</w:t>
      </w:r>
      <w:r>
        <w:rPr>
          <w:b/>
          <w:sz w:val="22"/>
        </w:rPr>
        <w:t>.</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 xml:space="preserve">In the event of any inconsistency between </w:t>
      </w:r>
      <w:r>
        <w:rPr>
          <w:rStyle w:val="FOOTNOTETEX"/>
          <w:rFonts w:cs="Times New Roman"/>
          <w:strike/>
          <w:sz w:val="22"/>
        </w:rPr>
        <w:t>the provisions of this Agreement and the Definitions, this Agreement will prevail.</w:t>
      </w:r>
      <w:r>
        <w:rPr>
          <w:rStyle w:val="FOOTNOTETEX"/>
          <w:rFonts w:cs="Times New Roman"/>
          <w:sz w:val="22"/>
        </w:rPr>
        <w:t xml:space="preserve"> </w:t>
      </w:r>
      <w:r>
        <w:rPr>
          <w:rStyle w:val="FOOTNOTETEX"/>
          <w:rFonts w:cs="Times New Roman"/>
          <w:sz w:val="22"/>
          <w:u w:val="double"/>
        </w:rPr>
        <w:t>any of the following documents, the relevant document first listed below shall govern: (i) with respect to a specific Transaction, first, any recordings of telephone conversations pursuant to Section 5(f) of this Schedule relating to such Transaction, and, second, the written Confirmation thereof, provided, however, that such a recording shall only govern with respect either to a Transaction as to which a Confirmation has not been signed by the parties, or a Transaction as to which the signed Confirmation does not definitively address a term that is addressed by the recording; (ii) the Schedule; (iii) the 1991 Definitions and the Commodity Definitions</w:t>
      </w:r>
      <w:r>
        <w:rPr>
          <w:sz w:val="22"/>
          <w:u w:val="double"/>
        </w:rPr>
        <w:t>; provided, however, with respect to Commodity Transactions, to the extent that there is any inconsistency between the 1991 Definitions and the Commodity Definitions, the Commodity Definitions shall prevail</w:t>
      </w:r>
      <w:r>
        <w:rPr>
          <w:rStyle w:val="FOOTNOTETEX"/>
          <w:rFonts w:cs="Times New Roman"/>
          <w:sz w:val="22"/>
          <w:u w:val="double"/>
        </w:rPr>
        <w:t xml:space="preserve">; and (iv) the printed form of ISDA Master Agreement.  However, in respect of a Transaction that is a commodity swap, commodity option or other similar commodity transaction </w:t>
      </w:r>
      <w:r>
        <w:rPr>
          <w:sz w:val="22"/>
          <w:u w:val="double"/>
        </w:rPr>
        <w:t>(each a "Commodity Transaction"),</w:t>
      </w:r>
      <w:r>
        <w:rPr>
          <w:rStyle w:val="FOOTNOTETEX"/>
          <w:rFonts w:cs="Times New Roman"/>
          <w:sz w:val="22"/>
        </w:rPr>
        <w:t xml:space="preserve"> </w:t>
      </w:r>
      <w:r>
        <w:rPr>
          <w:rStyle w:val="FOOTNOTETEX"/>
          <w:rFonts w:cs="Times New Roman"/>
          <w:sz w:val="22"/>
          <w:u w:val="double"/>
        </w:rPr>
        <w:t>in the event of any inconsistency between the 1991 Definitions and the Commodity Definitions, the Commodity Definitions shall govern.</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Style w:val="FOOTNOTETEX"/>
          <w:rFonts w:cs="Times New Roman"/>
          <w:strike/>
          <w:sz w:val="22"/>
        </w:rPr>
        <w:t>(e)</w:t>
      </w:r>
    </w:p>
    <w:p>
      <w:pPr>
        <w:pStyle w:val="Normal"/>
        <w:widowContro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r>
        <w:rPr>
          <w:strike/>
          <w:sz w:val="22"/>
        </w:rPr>
        <w:t>two Local Business Days</w:t>
      </w:r>
      <w:r>
        <w:rPr>
          <w:sz w:val="22"/>
        </w:rPr>
        <w:t xml:space="preserve"> </w:t>
      </w:r>
      <w:r>
        <w:rPr>
          <w:sz w:val="22"/>
          <w:u w:val="double"/>
        </w:rPr>
        <w:t>thirty (30) days</w:t>
      </w:r>
      <w:r>
        <w:rPr>
          <w:sz w:val="22"/>
        </w:rPr>
        <w:t xml:space="preserve">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trike/>
          <w:sz w:val="22"/>
        </w:rPr>
        <w:t>(f)</w:t>
      </w:r>
    </w:p>
    <w:p>
      <w:pPr>
        <w:pStyle w:val="Normal"/>
        <w:widowControl/>
        <w:numPr>
          <w:ilvl w:val="0"/>
          <w:numId w:val="9"/>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w:t>
      </w:r>
      <w:r>
        <w:rPr>
          <w:sz w:val="22"/>
          <w:u w:val="double"/>
        </w:rPr>
        <w:t>monitoring or</w:t>
      </w:r>
      <w:r>
        <w:rPr>
          <w:sz w:val="22"/>
        </w:rPr>
        <w:t xml:space="preserve"> recording</w:t>
      </w:r>
      <w:r>
        <w:rPr>
          <w:strike/>
          <w:sz w:val="22"/>
        </w:rPr>
        <w:t>, at any time and</w:t>
      </w:r>
      <w:r>
        <w:rPr>
          <w:sz w:val="22"/>
        </w:rPr>
        <w:t xml:space="preserve"> from time to time</w:t>
      </w:r>
      <w:r>
        <w:rPr>
          <w:strike/>
          <w:sz w:val="22"/>
        </w:rPr>
        <w:t>,</w:t>
      </w:r>
      <w:r>
        <w:rPr>
          <w:sz w:val="22"/>
        </w:rPr>
        <w:t xml:space="preserve"> by the other party of any </w:t>
      </w:r>
      <w:r>
        <w:rPr>
          <w:strike/>
          <w:sz w:val="22"/>
        </w:rPr>
        <w:t>and all</w:t>
      </w:r>
      <w:r>
        <w:rPr>
          <w:sz w:val="22"/>
        </w:rPr>
        <w:t xml:space="preserve"> communications between </w:t>
      </w:r>
      <w:r>
        <w:rPr>
          <w:strike/>
          <w:sz w:val="22"/>
        </w:rPr>
        <w:t>officers or employees of the parties, and</w:t>
      </w:r>
      <w:r>
        <w:rPr>
          <w:sz w:val="22"/>
        </w:rPr>
        <w:t xml:space="preserve"> </w:t>
      </w:r>
      <w:r>
        <w:rPr>
          <w:sz w:val="22"/>
          <w:u w:val="double"/>
        </w:rPr>
        <w:t>the trading and marketing personnel of the parties relating to this Agreement or any potential Transaction,</w:t>
      </w:r>
      <w:r>
        <w:rPr>
          <w:sz w:val="22"/>
        </w:rPr>
        <w:t xml:space="preserve"> waives any further notice of such </w:t>
      </w:r>
      <w:r>
        <w:rPr>
          <w:strike/>
          <w:sz w:val="22"/>
        </w:rPr>
        <w:t>recording.</w:t>
      </w:r>
      <w:r>
        <w:rPr>
          <w:sz w:val="22"/>
        </w:rPr>
        <w:t xml:space="preserve"> </w:t>
      </w:r>
      <w:r>
        <w:rPr>
          <w:sz w:val="22"/>
          <w:u w:val="double"/>
        </w:rPr>
        <w:t>monitoring or recording, agrees to give notice to and obtain any necessary consent from such employees with respect to such monitoring or recording and agrees that any such recording may be submitted in evidence in any proceeding relating to this Agreement (and the parties hereby waive any evidentiary objections thereto including without limitation those under the statute of frauds, hearsay rule or best evidence rule).</w:t>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trike/>
          <w:sz w:val="22"/>
        </w:rPr>
        <w:t>(g)</w:t>
      </w:r>
    </w:p>
    <w:p>
      <w:pPr>
        <w:pStyle w:val="Normal"/>
        <w:widowControl/>
        <w:numPr>
          <w:ilvl w:val="0"/>
          <w:numId w:val="10"/>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sz w:val="22"/>
        </w:rPr>
      </w:pPr>
      <w:r>
        <w:rPr>
          <w:strike/>
          <w:sz w:val="22"/>
        </w:rPr>
        <w:t>(h)</w:t>
      </w:r>
    </w:p>
    <w:p>
      <w:pPr>
        <w:pStyle w:val="Normal"/>
        <w:widowControl/>
        <w:spacing w:lineRule="exact" w:line="240" w:before="240" w:after="0"/>
        <w:ind w:firstLine="720" w:end="0"/>
        <w:jc w:val="both"/>
        <w:rPr/>
      </w:pPr>
      <w:r>
        <w:rPr>
          <w:sz w:val="22"/>
          <w:u w:val="double"/>
        </w:rPr>
        <w:t>(i)</w:t>
      </w:r>
      <w:r>
        <w:rPr>
          <w:sz w:val="22"/>
        </w:rPr>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b/>
          <w:sz w:val="22"/>
        </w:rPr>
      </w:pPr>
      <w:r>
        <w:rPr>
          <w:b/>
          <w:strike/>
          <w:sz w:val="22"/>
        </w:rPr>
        <w:t>(i)</w:t>
      </w:r>
    </w:p>
    <w:p>
      <w:pPr>
        <w:pStyle w:val="Normal"/>
        <w:widowControl/>
        <w:spacing w:lineRule="exact" w:line="240" w:before="240" w:after="0"/>
        <w:ind w:firstLine="720" w:end="0"/>
        <w:jc w:val="both"/>
        <w:rPr/>
      </w:pPr>
      <w:r>
        <w:rPr>
          <w:sz w:val="22"/>
          <w:u w:val="double"/>
        </w:rPr>
        <w:t>(j)</w:t>
      </w:r>
      <w:r>
        <w:rPr>
          <w:sz w:val="22"/>
        </w:rPr>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sz w:val="22"/>
        </w:rPr>
      </w:pPr>
      <w:r>
        <w:rPr>
          <w:strike/>
          <w:sz w:val="22"/>
        </w:rPr>
        <w:t>(j)</w:t>
      </w:r>
    </w:p>
    <w:p>
      <w:pPr>
        <w:pStyle w:val="Normal"/>
        <w:widowControl/>
        <w:spacing w:lineRule="exact" w:line="240"/>
        <w:ind w:firstLine="630" w:end="0"/>
        <w:jc w:val="both"/>
        <w:rPr/>
      </w:pPr>
      <w:r>
        <w:rPr>
          <w:sz w:val="22"/>
          <w:u w:val="double"/>
        </w:rPr>
        <w:t>(k)</w:t>
      </w:r>
      <w:r>
        <w:rPr>
          <w:sz w:val="22"/>
        </w:rPr>
        <w:tab/>
      </w:r>
      <w:r>
        <w:rPr>
          <w:b/>
          <w:sz w:val="22"/>
        </w:rPr>
        <w:t>Transfer.</w:t>
      </w:r>
      <w:r>
        <w:rPr>
          <w:sz w:val="22"/>
        </w:rPr>
        <w:t xml:space="preserve">  Section 7 is hereby amended by adding the following Subsection (c):</w:t>
      </w:r>
    </w:p>
    <w:p>
      <w:pPr>
        <w:pStyle w:val="Normal"/>
        <w:widowControl/>
        <w:spacing w:lineRule="exact" w:line="240"/>
        <w:ind w:firstLine="630" w:end="0"/>
        <w:jc w:val="both"/>
        <w:rPr>
          <w:sz w:val="22"/>
        </w:rPr>
      </w:pPr>
      <w:r>
        <w:rPr>
          <w:sz w:val="22"/>
        </w:rPr>
      </w:r>
    </w:p>
    <w:p>
      <w:pPr>
        <w:pStyle w:val="Normal"/>
        <w:widowContro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w:t>
      </w:r>
      <w:r>
        <w:rPr>
          <w:sz w:val="22"/>
          <w:u w:val="double"/>
        </w:rPr>
        <w:t>at the time of transfer such Affiliate (i) has a tangible net worth not less than that of Party A, (ii) can and does make in writing each of the representations in Section 3, (iii) irrevocably agrees in writing to assume all obligations of Party A under or relating to this Agreement without condition or qualification, (iv)</w:t>
      </w:r>
      <w:r>
        <w:rPr>
          <w:sz w:val="22"/>
        </w:rPr>
        <w:t xml:space="preserve"> the obligations of such Affiliate are guaranteed by Enron Corp. pursuant to a guaranty substantially </w:t>
      </w:r>
      <w:r>
        <w:rPr>
          <w:strike/>
          <w:sz w:val="22"/>
        </w:rPr>
        <w:t>similar</w:t>
      </w:r>
      <w:r>
        <w:rPr>
          <w:sz w:val="22"/>
        </w:rPr>
        <w:t xml:space="preserve"> </w:t>
      </w:r>
      <w:r>
        <w:rPr>
          <w:sz w:val="22"/>
          <w:u w:val="double"/>
        </w:rPr>
        <w:t xml:space="preserve">identical, </w:t>
      </w:r>
      <w:r>
        <w:rPr>
          <w:i/>
          <w:sz w:val="22"/>
          <w:u w:val="double"/>
        </w:rPr>
        <w:t>mutatis mutandi</w:t>
      </w:r>
      <w:r>
        <w:rPr>
          <w:sz w:val="22"/>
          <w:u w:val="double"/>
        </w:rPr>
        <w:t>,</w:t>
      </w:r>
      <w:r>
        <w:rPr>
          <w:sz w:val="22"/>
        </w:rPr>
        <w:t xml:space="preserve"> to the one provided on behalf of Party A, </w:t>
      </w:r>
      <w:r>
        <w:rPr>
          <w:strike/>
          <w:sz w:val="22"/>
        </w:rPr>
        <w:t>provided</w:t>
      </w:r>
      <w:r>
        <w:rPr>
          <w:sz w:val="22"/>
        </w:rPr>
        <w:t xml:space="preserve"> </w:t>
      </w:r>
      <w:r>
        <w:rPr>
          <w:sz w:val="22"/>
          <w:u w:val="double"/>
        </w:rPr>
        <w:t>and (v) represents in writing that it has reviewed this Agreement and each Credit Support Document and Transaction relating to this Agreement and</w:t>
      </w:r>
      <w:r>
        <w:rPr>
          <w:sz w:val="22"/>
        </w:rPr>
        <w:t xml:space="preserve"> that such transfer will not give rise to a Termination Event or an Event of Default.”</w:t>
      </w:r>
    </w:p>
    <w:p>
      <w:pPr>
        <w:pStyle w:val="Normal"/>
        <w:widowControl/>
        <w:spacing w:lineRule="exact" w:line="240"/>
        <w:ind w:firstLine="630" w:end="0"/>
        <w:jc w:val="both"/>
        <w:rPr>
          <w:sz w:val="22"/>
        </w:rPr>
      </w:pPr>
      <w:r>
        <w:rPr>
          <w:strike/>
          <w:sz w:val="22"/>
        </w:rPr>
        <w:t>(k)</w:t>
      </w:r>
    </w:p>
    <w:p>
      <w:pPr>
        <w:pStyle w:val="Normal"/>
        <w:widowControl/>
        <w:spacing w:lineRule="exact" w:line="240" w:before="240" w:after="0"/>
        <w:ind w:firstLine="720" w:end="0"/>
        <w:jc w:val="both"/>
        <w:rPr/>
      </w:pPr>
      <w:r>
        <w:rPr>
          <w:sz w:val="22"/>
          <w:u w:val="double"/>
        </w:rPr>
        <w:t>(l)</w:t>
      </w:r>
      <w:r>
        <w:rPr>
          <w:sz w:val="22"/>
        </w:rPr>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sz w:val="22"/>
        </w:rPr>
      </w:pPr>
      <w:r>
        <w:rPr>
          <w:strike/>
          <w:sz w:val="22"/>
        </w:rPr>
        <w:t>(l)</w:t>
      </w:r>
    </w:p>
    <w:p>
      <w:pPr>
        <w:pStyle w:val="Normal"/>
        <w:widowControl/>
        <w:spacing w:lineRule="exact" w:line="240" w:before="240" w:after="0"/>
        <w:ind w:firstLine="720" w:end="0"/>
        <w:jc w:val="both"/>
        <w:rPr/>
      </w:pPr>
      <w:r>
        <w:rPr>
          <w:sz w:val="22"/>
          <w:u w:val="double"/>
        </w:rPr>
        <w:t>(m)</w:t>
      </w:r>
      <w:r>
        <w:rPr>
          <w:sz w:val="22"/>
        </w:rPr>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sz w:val="22"/>
        </w:rPr>
      </w:pPr>
      <w:r>
        <w:rPr>
          <w:strike/>
          <w:sz w:val="22"/>
        </w:rPr>
        <w:t>(m)</w:t>
      </w:r>
    </w:p>
    <w:p>
      <w:pPr>
        <w:pStyle w:val="Normal"/>
        <w:widowControl/>
        <w:spacing w:lineRule="exact" w:line="240"/>
        <w:ind w:firstLine="720" w:end="0"/>
        <w:jc w:val="both"/>
        <w:rPr/>
      </w:pPr>
      <w:r>
        <w:rPr>
          <w:sz w:val="22"/>
          <w:u w:val="double"/>
        </w:rPr>
        <w:t>(n)</w:t>
      </w:r>
      <w:r>
        <w:rPr>
          <w:sz w:val="22"/>
        </w:rPr>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w:t>
      </w:r>
      <w:r>
        <w:rPr>
          <w:strike/>
          <w:sz w:val="22"/>
        </w:rPr>
        <w:t>the law</w:t>
      </w:r>
      <w:r>
        <w:rPr>
          <w:sz w:val="22"/>
        </w:rPr>
        <w:t xml:space="preserve"> applicable </w:t>
      </w:r>
      <w:r>
        <w:rPr>
          <w:strike/>
          <w:sz w:val="22"/>
        </w:rPr>
        <w:t>to such party</w:t>
      </w:r>
      <w:r>
        <w:rPr>
          <w:sz w:val="22"/>
        </w:rPr>
        <w:t xml:space="preserve"> </w:t>
      </w:r>
      <w:r>
        <w:rPr>
          <w:sz w:val="22"/>
          <w:u w:val="double"/>
        </w:rPr>
        <w:t>law</w:t>
      </w:r>
      <w:r>
        <w:rPr>
          <w:sz w:val="22"/>
        </w:rPr>
        <w:t>.</w:t>
      </w:r>
      <w:r>
        <w:br w:type="page"/>
      </w:r>
    </w:p>
    <w:p>
      <w:pPr>
        <w:pStyle w:val="Normal"/>
        <w:widowContro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widowControl/>
        <w:tabs>
          <w:tab w:val="left" w:pos="720" w:leader="none"/>
          <w:tab w:val="left" w:pos="1440" w:leader="none"/>
        </w:tabs>
        <w:ind w:firstLine="720" w:end="0"/>
        <w:rPr/>
      </w:pPr>
      <w:r>
        <w:rPr>
          <w:sz w:val="22"/>
        </w:rPr>
        <w:t>(a)</w:t>
        <w:tab/>
      </w:r>
      <w:r>
        <w:rPr>
          <w:b/>
          <w:sz w:val="22"/>
          <w:u w:val="double"/>
        </w:rPr>
        <w:t>Commodity Definitions</w:t>
      </w:r>
      <w:r>
        <w:rPr>
          <w:sz w:val="22"/>
          <w:u w:val="double"/>
        </w:rPr>
        <w:t>.</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w:t>
      </w:r>
      <w:r>
        <w:rPr>
          <w:sz w:val="22"/>
          <w:u w:val="double"/>
        </w:rPr>
        <w:t xml:space="preserve">The Confirmation for each Commodity Transaction shall be substantially in (a) the form of either one of the exhibits to the Commodity Definitions or (b) such other form as the parties may agree upon.  </w:t>
      </w:r>
    </w:p>
    <w:p>
      <w:pPr>
        <w:pStyle w:val="Normal"/>
        <w:widowControl/>
        <w:ind w:firstLine="720" w:end="0"/>
        <w:jc w:val="both"/>
        <w:rPr>
          <w:sz w:val="22"/>
          <w:u w:val="double"/>
        </w:rPr>
      </w:pPr>
      <w:r>
        <w:rPr>
          <w:sz w:val="22"/>
          <w:u w:val="double"/>
        </w:rPr>
      </w:r>
    </w:p>
    <w:p>
      <w:pPr>
        <w:pStyle w:val="Normal"/>
        <w:widowControl/>
        <w:ind w:firstLine="720" w:end="0"/>
        <w:jc w:val="both"/>
        <w:rPr>
          <w:sz w:val="22"/>
        </w:rPr>
      </w:pPr>
      <w:r>
        <w:rPr>
          <w:sz w:val="22"/>
          <w:u w:val="double"/>
        </w:rPr>
        <w:t>(b)</w:t>
      </w:r>
      <w:r>
        <w:rPr>
          <w:sz w:val="22"/>
        </w:rPr>
        <w:tab/>
      </w:r>
      <w:r>
        <w:rPr>
          <w:b/>
          <w:sz w:val="22"/>
          <w:u w:val="double"/>
        </w:rPr>
        <w:t>Market Disruption Events.</w:t>
      </w:r>
      <w:r>
        <w:rPr>
          <w:b/>
          <w:strike/>
          <w:sz w:val="22"/>
        </w:rPr>
        <w:t xml:space="preserve">(b) </w:t>
      </w:r>
      <w:r>
        <w:rPr>
          <w:b/>
          <w:sz w:val="22"/>
        </w:rPr>
        <w:t xml:space="preserve"> </w:t>
      </w:r>
      <w:r>
        <w:rPr>
          <w:sz w:val="22"/>
        </w:rPr>
        <w:t xml:space="preserve">In lieu of Section 7.4(d) of the Commodity Definitions, </w:t>
      </w:r>
      <w:r>
        <w:rPr>
          <w:strike/>
          <w:sz w:val="22"/>
        </w:rPr>
        <w:t>the “Market Disruption Events” specified in Section 7.4(c)(i), (c)(ii), (c)(iii), (c)(iv), (c)(v) and (c)(viii) of the Commodity Definitions shall apply, except as</w:t>
      </w:r>
      <w:r>
        <w:rPr>
          <w:sz w:val="22"/>
        </w:rPr>
        <w:t xml:space="preserve"> </w:t>
      </w:r>
      <w:r>
        <w:rPr>
          <w:sz w:val="22"/>
          <w:u w:val="double"/>
        </w:rPr>
        <w:t>unless</w:t>
      </w:r>
      <w:r>
        <w:rPr>
          <w:sz w:val="22"/>
        </w:rPr>
        <w:t xml:space="preserve"> otherwise specified in the </w:t>
      </w:r>
      <w:r>
        <w:rPr>
          <w:strike/>
          <w:sz w:val="22"/>
        </w:rPr>
        <w:t>relevant Confirmation.</w:t>
      </w:r>
      <w:r>
        <w:rPr>
          <w:sz w:val="22"/>
        </w:rPr>
        <w:t xml:space="preserve"> </w:t>
      </w:r>
      <w:r>
        <w:rPr>
          <w:sz w:val="22"/>
          <w:u w:val="double"/>
        </w:rPr>
        <w:t>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widowControl/>
        <w:ind w:firstLine="720" w:end="0"/>
        <w:jc w:val="both"/>
        <w:rPr>
          <w:sz w:val="22"/>
        </w:rPr>
      </w:pPr>
      <w:r>
        <w:rPr>
          <w:sz w:val="22"/>
        </w:rPr>
      </w:r>
    </w:p>
    <w:p>
      <w:pPr>
        <w:pStyle w:val="Normal"/>
        <w:widowControl/>
        <w:ind w:firstLine="720" w:end="0"/>
        <w:jc w:val="both"/>
        <w:rPr>
          <w:sz w:val="22"/>
        </w:rPr>
      </w:pPr>
      <w:r>
        <w:rPr>
          <w:strike/>
          <w:sz w:val="22"/>
        </w:rPr>
        <w:t xml:space="preserve">(c) </w:t>
      </w:r>
    </w:p>
    <w:p>
      <w:pPr>
        <w:pStyle w:val="Normal"/>
        <w:widowControl/>
        <w:ind w:firstLine="720" w:end="0"/>
        <w:jc w:val="both"/>
        <w:rPr/>
      </w:pPr>
      <w:r>
        <w:rPr>
          <w:sz w:val="22"/>
          <w:u w:val="double"/>
        </w:rPr>
        <w:t>(c)</w:t>
      </w:r>
      <w:r>
        <w:rPr>
          <w:sz w:val="22"/>
        </w:rPr>
        <w:tab/>
      </w:r>
      <w:r>
        <w:rPr>
          <w:b/>
          <w:sz w:val="22"/>
          <w:u w:val="double"/>
        </w:rPr>
        <w:t>Material Limitation.</w:t>
      </w:r>
      <w:r>
        <w:rPr>
          <w:sz w:val="22"/>
        </w:rPr>
        <w:t xml:space="preserve"> 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Normal"/>
        <w:widowControl/>
        <w:tabs>
          <w:tab w:val="left" w:pos="-1440" w:leader="none"/>
          <w:tab w:val="left" w:pos="720" w:leader="none"/>
          <w:tab w:val="left" w:pos="1440" w:leader="none"/>
        </w:tabs>
        <w:ind w:firstLine="720" w:end="0"/>
        <w:rPr/>
      </w:pPr>
      <w:r>
        <w:rPr>
          <w:sz w:val="22"/>
          <w:u w:val="double"/>
        </w:rPr>
        <w:t>(f)</w:t>
      </w:r>
      <w:r>
        <w:rPr>
          <w:sz w:val="22"/>
        </w:rPr>
        <w:tab/>
      </w:r>
      <w:r>
        <w:rPr>
          <w:sz w:val="22"/>
          <w:u w:val="double"/>
        </w:rPr>
        <w:t>Section 7.5(c) of the Commodity Definitions is hereby amended by adding at the end thereof the following new section:</w:t>
      </w:r>
    </w:p>
    <w:p>
      <w:pPr>
        <w:pStyle w:val="Normal"/>
        <w:widowControl/>
        <w:tabs>
          <w:tab w:val="left" w:pos="720" w:leader="none"/>
          <w:tab w:val="left" w:pos="1440" w:leader="none"/>
        </w:tabs>
        <w:ind w:firstLine="720" w:end="0"/>
        <w:rPr>
          <w:sz w:val="22"/>
          <w:u w:val="double"/>
        </w:rPr>
      </w:pPr>
      <w:r>
        <w:rPr>
          <w:sz w:val="22"/>
          <w:u w:val="double"/>
        </w:rPr>
      </w:r>
    </w:p>
    <w:p>
      <w:pPr>
        <w:pStyle w:val="Normal"/>
        <w:widowControl/>
        <w:tabs>
          <w:tab w:val="left" w:pos="720" w:leader="none"/>
          <w:tab w:val="left" w:pos="1440" w:leader="none"/>
        </w:tabs>
        <w:ind w:firstLine="720" w:start="720" w:end="0"/>
        <w:rPr>
          <w:sz w:val="22"/>
        </w:rPr>
      </w:pPr>
      <w:r>
        <w:rPr>
          <w:sz w:val="22"/>
          <w:u w:val="double"/>
        </w:rPr>
        <w:t>"(vii)</w:t>
      </w:r>
      <w:r>
        <w:rPr>
          <w:sz w:val="22"/>
        </w:rPr>
        <w:tab/>
      </w:r>
      <w:r>
        <w:rPr>
          <w:sz w:val="22"/>
          <w:u w:val="double"/>
        </w:rPr>
        <w:t>"Dealer Fallback" means that, promptly upon becoming aware of the Market Disruption Event or Additional Market Disruption Event, the parties shall promptly and jointly agree upon three independent leading dealers in the relevant underlying commodity market selected in good faith (A)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and (B) to the extent practicable, from among dealers having an office in the same city.  Such dealers shall be appointed to make a determination of the Relevant Price taking into consideration the latest available quotation for the relevant Commodity Reference Price and any other information that in good faith it deems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t>
      </w:r>
    </w:p>
    <w:p>
      <w:pPr>
        <w:pStyle w:val="BodyTextIndent2"/>
        <w:widowControl/>
        <w:tabs>
          <w:tab w:val="clear" w:pos="1350"/>
        </w:tabs>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strike/>
        </w:rPr>
        <w:t>(f)</w:t>
      </w:r>
    </w:p>
    <w:p>
      <w:pPr>
        <w:pStyle w:val="BodyTextIndent2"/>
        <w:widowControl/>
        <w:tabs>
          <w:tab w:val="clear" w:pos="1350"/>
        </w:tabs>
        <w:rPr>
          <w:rFonts w:ascii="Times New Roman" w:hAnsi="Times New Roman" w:cs="Times New Roman"/>
        </w:rPr>
      </w:pPr>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Normal"/>
        <w:widowControl/>
        <w:jc w:val="both"/>
        <w:rPr>
          <w:sz w:val="22"/>
        </w:rPr>
      </w:pPr>
      <w:r>
        <w:rPr>
          <w:strike/>
          <w:sz w:val="22"/>
        </w:rPr>
        <w:t>(i)</w:t>
      </w:r>
    </w:p>
    <w:p>
      <w:pPr>
        <w:pStyle w:val="Normal"/>
        <w:widowControl/>
        <w:numPr>
          <w:ilvl w:val="0"/>
          <w:numId w:val="6"/>
        </w:numPr>
        <w:tabs>
          <w:tab w:val="clear" w:pos="720"/>
          <w:tab w:val="left" w:pos="1440" w:leader="none"/>
        </w:tabs>
        <w:ind w:firstLine="720" w:start="1440" w:end="720"/>
        <w:jc w:val="both"/>
        <w:rPr>
          <w:sz w:val="22"/>
        </w:rPr>
      </w:pPr>
      <w:r>
        <w:rPr>
          <w:sz w:val="22"/>
        </w:rPr>
        <w:t>“</w:t>
      </w:r>
      <w:r>
        <w:rPr>
          <w:sz w:val="22"/>
        </w:rPr>
        <w:t>Postponement”, with three (3) Commodity Business Days as the Maximum Days of Disruption;</w:t>
      </w:r>
    </w:p>
    <w:p>
      <w:pPr>
        <w:pStyle w:val="Normal"/>
        <w:widowControl/>
        <w:tabs>
          <w:tab w:val="clear" w:pos="720"/>
          <w:tab w:val="left" w:pos="1440" w:leader="none"/>
        </w:tabs>
        <w:ind w:firstLine="720" w:start="1440" w:end="720"/>
        <w:jc w:val="both"/>
        <w:rPr>
          <w:sz w:val="22"/>
        </w:rPr>
      </w:pPr>
      <w:r>
        <w:rPr>
          <w:sz w:val="22"/>
        </w:rPr>
      </w:r>
    </w:p>
    <w:p>
      <w:pPr>
        <w:pStyle w:val="Normal"/>
        <w:widowControl/>
        <w:tabs>
          <w:tab w:val="clear" w:pos="720"/>
          <w:tab w:val="left" w:pos="1440" w:leader="none"/>
        </w:tabs>
        <w:ind w:firstLine="720" w:start="1440" w:end="720"/>
        <w:jc w:val="both"/>
        <w:rPr>
          <w:sz w:val="22"/>
        </w:rPr>
      </w:pPr>
      <w:r>
        <w:rPr>
          <w:strike/>
          <w:sz w:val="22"/>
        </w:rPr>
        <w:t>(ii)</w:t>
      </w:r>
    </w:p>
    <w:p>
      <w:pPr>
        <w:pStyle w:val="Normal"/>
        <w:widowControl/>
        <w:numPr>
          <w:ilvl w:val="0"/>
          <w:numId w:val="7"/>
        </w:numPr>
        <w:tabs>
          <w:tab w:val="clear" w:pos="720"/>
          <w:tab w:val="left" w:pos="1440" w:leader="none"/>
        </w:tabs>
        <w:ind w:firstLine="720" w:start="1440" w:end="720"/>
        <w:jc w:val="both"/>
        <w:rPr>
          <w:sz w:val="22"/>
        </w:rPr>
      </w:pPr>
      <w:r>
        <w:rPr>
          <w:sz w:val="22"/>
        </w:rPr>
        <w:t>“</w:t>
      </w:r>
      <w:r>
        <w:rPr>
          <w:sz w:val="22"/>
        </w:rPr>
        <w:t>Fallback Reference Price” (if the relevant parties have specified an alternate Commodity Reference Price in the Confirmation);</w:t>
      </w:r>
    </w:p>
    <w:p>
      <w:pPr>
        <w:pStyle w:val="Normal"/>
        <w:widowControl/>
        <w:ind w:end="720"/>
        <w:jc w:val="both"/>
        <w:rPr>
          <w:sz w:val="22"/>
        </w:rPr>
      </w:pPr>
      <w:r>
        <w:rPr>
          <w:sz w:val="22"/>
        </w:rPr>
      </w:r>
    </w:p>
    <w:p>
      <w:pPr>
        <w:pStyle w:val="Normal"/>
        <w:widowControl/>
        <w:numPr>
          <w:ilvl w:val="0"/>
          <w:numId w:val="5"/>
        </w:numPr>
        <w:tabs>
          <w:tab w:val="clear" w:pos="720"/>
          <w:tab w:val="left" w:pos="1440" w:leader="none"/>
        </w:tabs>
        <w:ind w:firstLine="720" w:start="1440" w:end="720"/>
        <w:jc w:val="both"/>
        <w:rPr>
          <w:sz w:val="22"/>
        </w:rPr>
      </w:pPr>
      <w:r>
        <w:rPr>
          <w:sz w:val="22"/>
        </w:rPr>
        <w:t xml:space="preserve"> </w:t>
      </w:r>
      <w:r>
        <w:rPr>
          <w:sz w:val="22"/>
          <w:u w:val="double"/>
        </w:rPr>
        <w:t>“</w:t>
      </w:r>
      <w:r>
        <w:rPr>
          <w:sz w:val="22"/>
          <w:u w:val="double"/>
        </w:rPr>
        <w:t>Dealer Fallback”;</w:t>
      </w:r>
    </w:p>
    <w:p>
      <w:pPr>
        <w:pStyle w:val="Normal"/>
        <w:widowControl/>
        <w:ind w:end="720"/>
        <w:jc w:val="both"/>
        <w:rPr>
          <w:sz w:val="22"/>
        </w:rPr>
      </w:pPr>
      <w:r>
        <w:rPr>
          <w:sz w:val="22"/>
        </w:rPr>
      </w:r>
    </w:p>
    <w:p>
      <w:pPr>
        <w:pStyle w:val="Normal"/>
        <w:widowControl/>
        <w:ind w:end="720"/>
        <w:jc w:val="both"/>
        <w:rPr>
          <w:sz w:val="22"/>
        </w:rPr>
      </w:pPr>
      <w:r>
        <w:rPr>
          <w:strike/>
          <w:sz w:val="22"/>
        </w:rPr>
        <w:t>(iii)</w:t>
      </w:r>
    </w:p>
    <w:p>
      <w:pPr>
        <w:pStyle w:val="Normal"/>
        <w:widowControl/>
        <w:numPr>
          <w:ilvl w:val="0"/>
          <w:numId w:val="2"/>
        </w:numPr>
        <w:tabs>
          <w:tab w:val="clear" w:pos="720"/>
          <w:tab w:val="left" w:pos="1440" w:leader="none"/>
        </w:tabs>
        <w:ind w:firstLine="720" w:start="1440" w:end="720"/>
        <w:jc w:val="both"/>
        <w:rPr>
          <w:sz w:val="22"/>
        </w:rPr>
      </w:pPr>
      <w:r>
        <w:rPr>
          <w:sz w:val="22"/>
        </w:rPr>
        <w:t>“</w:t>
      </w:r>
      <w:r>
        <w:rPr>
          <w:sz w:val="22"/>
        </w:rPr>
        <w:t>Negotiated Fallback” (provided that the reference in Section 7.5(c)(ii) to “fifth Business Day” shall be amended to be “twelfth Business Day”); and</w:t>
      </w:r>
    </w:p>
    <w:p>
      <w:pPr>
        <w:pStyle w:val="Normal"/>
        <w:widowControl/>
        <w:ind w:end="720"/>
        <w:jc w:val="both"/>
        <w:rPr>
          <w:sz w:val="22"/>
        </w:rPr>
      </w:pPr>
      <w:r>
        <w:rPr>
          <w:sz w:val="22"/>
        </w:rPr>
      </w:r>
    </w:p>
    <w:p>
      <w:pPr>
        <w:pStyle w:val="Normal"/>
        <w:widowControl/>
        <w:ind w:end="720"/>
        <w:jc w:val="both"/>
        <w:rPr>
          <w:sz w:val="22"/>
        </w:rPr>
      </w:pPr>
      <w:r>
        <w:rPr>
          <w:sz w:val="22"/>
        </w:rPr>
      </w:r>
    </w:p>
    <w:p>
      <w:pPr>
        <w:pStyle w:val="Normal"/>
        <w:widowControl/>
        <w:ind w:end="720"/>
        <w:jc w:val="both"/>
        <w:rPr>
          <w:sz w:val="22"/>
        </w:rPr>
      </w:pPr>
      <w:r>
        <w:rPr>
          <w:strike/>
          <w:sz w:val="22"/>
        </w:rPr>
        <w:t>(iv) 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widowControl/>
        <w:ind w:end="720"/>
        <w:jc w:val="both"/>
        <w:rPr>
          <w:sz w:val="22"/>
        </w:rPr>
      </w:pPr>
      <w:r>
        <w:rPr>
          <w:sz w:val="22"/>
        </w:rPr>
      </w:r>
    </w:p>
    <w:p>
      <w:pPr>
        <w:pStyle w:val="Normal"/>
        <w:widowControl/>
        <w:numPr>
          <w:ilvl w:val="0"/>
          <w:numId w:val="4"/>
        </w:numPr>
        <w:tabs>
          <w:tab w:val="clear" w:pos="720"/>
          <w:tab w:val="left" w:pos="1440" w:leader="none"/>
        </w:tabs>
        <w:ind w:firstLine="720" w:start="1440" w:end="720"/>
        <w:jc w:val="both"/>
        <w:rPr/>
      </w:pPr>
      <w:r>
        <w:rPr>
          <w:sz w:val="22"/>
          <w:u w:val="double"/>
        </w:rPr>
        <w:t>“</w:t>
      </w:r>
      <w:r>
        <w:rPr>
          <w:sz w:val="22"/>
          <w:u w:val="double"/>
        </w:rPr>
        <w:t xml:space="preserve">No Fault Termination”. </w:t>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strike/>
        </w:rPr>
        <w:t>EXECUTED</w:t>
      </w:r>
    </w:p>
    <w:p>
      <w:pPr>
        <w:pStyle w:val="Justified"/>
        <w:widowControl/>
        <w:spacing w:before="0" w:after="0"/>
        <w:rPr/>
      </w:pPr>
      <w:r>
        <w:rPr>
          <w:rFonts w:cs="Times New Roman" w:ascii="Times New Roman" w:hAnsi="Times New Roman"/>
          <w:u w:val="double"/>
        </w:rPr>
        <w:t>IN WITNESS WHEREOF THIS SCHEDULE has been executed</w:t>
      </w:r>
      <w:r>
        <w:rPr>
          <w:rFonts w:cs="Times New Roman" w:ascii="Times New Roman" w:hAnsi="Times New Roman"/>
        </w:rPr>
        <w:t xml:space="preserve"> effective as of the date first written above </w:t>
      </w:r>
      <w:r>
        <w:rPr>
          <w:rFonts w:cs="Times New Roman" w:ascii="Times New Roman" w:hAnsi="Times New Roman"/>
          <w:u w:val="double"/>
        </w:rPr>
        <w:t>by the undersigned duly authorized representatives of the respective parties</w:t>
      </w:r>
      <w:r>
        <w:rPr>
          <w:rFonts w:cs="Times New Roman" w:ascii="Times New Roman" w:hAnsi="Times New Roman"/>
        </w:rPr>
        <w:t>.</w:t>
      </w:r>
    </w:p>
    <w:p>
      <w:pPr>
        <w:pStyle w:val="Normal"/>
        <w:widowContro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color w:val="000000"/>
                <w:sz w:val="22"/>
              </w:rPr>
            </w:pPr>
            <w:r>
              <w:rPr>
                <w:b/>
                <w:color w:val="000000"/>
                <w:sz w:val="22"/>
              </w:rPr>
              <w:t>ENRON NORTH AMERICA CORP.</w:t>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b/>
                <w:color w:val="000000"/>
                <w:sz w:val="22"/>
              </w:rPr>
            </w:pPr>
            <w:r>
              <w:rPr>
                <w:b/>
                <w:color w:val="00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tabs>
                <w:tab w:val="clear" w:pos="720"/>
                <w:tab w:val="left" w:pos="4320" w:leader="none"/>
              </w:tabs>
              <w:spacing w:lineRule="exact" w:line="240"/>
              <w:jc w:val="both"/>
              <w:rPr>
                <w:sz w:val="22"/>
              </w:rPr>
            </w:pPr>
            <w:r>
              <w:rPr>
                <w:strike/>
                <w:sz w:val="22"/>
              </w:rPr>
              <w:t>Date:</w:t>
            </w:r>
          </w:p>
          <w:p>
            <w:pPr>
              <w:pStyle w:val="Normal"/>
              <w:keepNext w:val="true"/>
              <w:widowControl/>
              <w:spacing w:lineRule="exact" w:line="240"/>
              <w:jc w:val="both"/>
              <w:rPr>
                <w:sz w:val="22"/>
              </w:rPr>
            </w:pPr>
            <w:r>
              <w:rPr>
                <w:sz w:val="22"/>
                <w:u w:val="single"/>
              </w:rPr>
              <w:tab/>
              <w:tab/>
              <w:tab/>
              <w:tab/>
              <w:tab/>
            </w:r>
          </w:p>
        </w:tc>
        <w:tc>
          <w:tcPr>
            <w:tcW w:w="4788" w:type="dxa"/>
            <w:tcBorders/>
          </w:tcPr>
          <w:p>
            <w:pPr>
              <w:pStyle w:val="Normal"/>
              <w:keepNext w:val="true"/>
              <w:widowControl/>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widowControl/>
              <w:spacing w:lineRule="exact" w:line="240"/>
              <w:jc w:val="both"/>
              <w:rPr>
                <w:rFonts w:ascii="Times New Roman" w:hAnsi="Times New Roman" w:cs="Times New Roman"/>
                <w:sz w:val="22"/>
              </w:rPr>
            </w:pPr>
            <w:r>
              <w:rPr>
                <w:rFonts w:cs="Times New Roman"/>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jc w:val="both"/>
              <w:rPr>
                <w:sz w:val="22"/>
                <w:u w:val="single"/>
              </w:rPr>
            </w:pPr>
            <w:r>
              <w:rPr>
                <w:strike/>
                <w:sz w:val="22"/>
                <w:u w:val="single"/>
              </w:rPr>
              <w:t>Date:</w:t>
            </w:r>
          </w:p>
          <w:p>
            <w:pPr>
              <w:pStyle w:val="Normal"/>
              <w:keepNext w:val="true"/>
              <w:widowControl/>
              <w:spacing w:lineRule="exact" w:line="240"/>
              <w:jc w:val="both"/>
              <w:rPr>
                <w:sz w:val="22"/>
              </w:rPr>
            </w:pPr>
            <w:r>
              <w:rPr>
                <w:sz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widowContro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_________________</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widowContro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widowControl/>
        <w:ind w:start="720" w:end="0"/>
        <w:jc w:val="both"/>
        <w:rPr>
          <w:b/>
          <w:sz w:val="22"/>
        </w:rPr>
      </w:pPr>
      <w:r>
        <w:rPr>
          <w:b/>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  ]</w:t>
            </w:r>
          </w:p>
        </w:tc>
        <w:tc>
          <w:tcPr>
            <w:tcW w:w="1440" w:type="dxa"/>
            <w:tcBorders/>
          </w:tcPr>
          <w:p>
            <w:pPr>
              <w:pStyle w:val="Normal"/>
              <w:widowControl/>
              <w:jc w:val="center"/>
              <w:rPr>
                <w:sz w:val="22"/>
              </w:rPr>
            </w:pPr>
            <w:r>
              <w:rPr>
                <w:sz w:val="22"/>
              </w:rPr>
              <w:t>[  ]</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t>None</w:t>
            </w:r>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widowControl/>
        <w:ind w:start="720" w:end="0"/>
        <w:jc w:val="both"/>
        <w:rPr>
          <w:b/>
          <w:sz w:val="22"/>
        </w:rPr>
      </w:pPr>
      <w:r>
        <w:rPr>
          <w:b/>
          <w:sz w:val="22"/>
        </w:rPr>
      </w:r>
    </w:p>
    <w:p>
      <w:pPr>
        <w:pStyle w:val="Normal"/>
        <w:widowContro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widowControl/>
              <w:snapToGrid w:val="false"/>
              <w:jc w:val="both"/>
              <w:rPr>
                <w:sz w:val="22"/>
              </w:rPr>
            </w:pPr>
            <w:r>
              <w:rPr>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p>
            <w:pPr>
              <w:pStyle w:val="Normal"/>
              <w:keepNext w:val="true"/>
              <w:keepLines/>
              <w:widowControl/>
              <w:jc w:val="center"/>
              <w:rPr>
                <w:b/>
                <w:sz w:val="22"/>
              </w:rPr>
            </w:pPr>
            <w:r>
              <w:rPr>
                <w:b/>
                <w:sz w:val="22"/>
              </w:rPr>
            </w:r>
          </w:p>
        </w:tc>
        <w:tc>
          <w:tcPr>
            <w:tcW w:w="1644"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p>
            <w:pPr>
              <w:pStyle w:val="Normal"/>
              <w:keepNext w:val="true"/>
              <w:keepLines/>
              <w:widowControl/>
              <w:jc w:val="center"/>
              <w:rPr>
                <w:b/>
                <w:sz w:val="22"/>
              </w:rPr>
            </w:pPr>
            <w:r>
              <w:rPr>
                <w:b/>
                <w:sz w:val="22"/>
              </w:rPr>
            </w:r>
          </w:p>
        </w:tc>
        <w:tc>
          <w:tcPr>
            <w:tcW w:w="3757"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1800" w:type="dxa"/>
            <w:tcBorders/>
          </w:tcPr>
          <w:p>
            <w:pPr>
              <w:pStyle w:val="Normal"/>
              <w:keepNext w:val="true"/>
              <w:keepLines/>
              <w:widowControl/>
              <w:jc w:val="both"/>
              <w:rPr>
                <w:sz w:val="22"/>
              </w:rPr>
            </w:pPr>
            <w:r>
              <w:rPr>
                <w:sz w:val="22"/>
              </w:rPr>
              <w:t>Letters of Credit</w:t>
            </w:r>
          </w:p>
        </w:tc>
        <w:tc>
          <w:tcPr>
            <w:tcW w:w="1440" w:type="dxa"/>
            <w:tcBorders/>
          </w:tcPr>
          <w:p>
            <w:pPr>
              <w:pStyle w:val="Normal"/>
              <w:keepNext w:val="true"/>
              <w:keepLines/>
              <w:widowControl/>
              <w:jc w:val="center"/>
              <w:rPr>
                <w:sz w:val="22"/>
              </w:rPr>
            </w:pPr>
            <w:r>
              <w:rPr>
                <w:sz w:val="22"/>
              </w:rPr>
              <w:t>[X]</w:t>
            </w:r>
          </w:p>
        </w:tc>
        <w:tc>
          <w:tcPr>
            <w:tcW w:w="1644" w:type="dxa"/>
            <w:tcBorders/>
          </w:tcPr>
          <w:p>
            <w:pPr>
              <w:pStyle w:val="Normal"/>
              <w:keepNext w:val="true"/>
              <w:keepLines/>
              <w:widowControl/>
              <w:jc w:val="center"/>
              <w:rPr>
                <w:sz w:val="22"/>
              </w:rPr>
            </w:pPr>
            <w:r>
              <w:rPr>
                <w:sz w:val="22"/>
              </w:rPr>
              <w:t>[X]</w:t>
            </w:r>
          </w:p>
        </w:tc>
        <w:tc>
          <w:tcPr>
            <w:tcW w:w="3757" w:type="dxa"/>
            <w:tcBorders/>
          </w:tcPr>
          <w:p>
            <w:pPr>
              <w:pStyle w:val="Normal"/>
              <w:keepNext w:val="true"/>
              <w:keepLines/>
              <w:widowControl/>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ind w:start="1440" w:end="0"/>
        <w:jc w:val="both"/>
        <w:rPr>
          <w:sz w:val="22"/>
        </w:rPr>
      </w:pPr>
      <w:r>
        <w:rPr>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widowControl/>
        <w:ind w:start="720" w:end="0"/>
        <w:jc w:val="both"/>
        <w:rPr>
          <w:sz w:val="22"/>
        </w:rPr>
      </w:pPr>
      <w:r>
        <w:rPr>
          <w:sz w:val="22"/>
        </w:rPr>
      </w:r>
    </w:p>
    <w:p>
      <w:pPr>
        <w:pStyle w:val="Normal"/>
        <w:widowControl/>
        <w:ind w:start="72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widowControl/>
        <w:ind w:start="720" w:end="0"/>
        <w:jc w:val="both"/>
        <w:rPr>
          <w:color w:val="000000"/>
          <w:sz w:val="22"/>
        </w:rPr>
      </w:pPr>
      <w:r>
        <w:rPr>
          <w:color w:val="000000"/>
          <w:sz w:val="22"/>
        </w:rPr>
      </w:r>
    </w:p>
    <w:p>
      <w:pPr>
        <w:pStyle w:val="Normal"/>
        <w:widowControl/>
        <w:ind w:start="720" w:end="0"/>
        <w:jc w:val="both"/>
        <w:rPr/>
      </w:pPr>
      <w:r>
        <w:rPr>
          <w:sz w:val="22"/>
        </w:rPr>
        <w:t xml:space="preserve">(C)  </w:t>
      </w:r>
      <w:r>
        <w:rPr>
          <w:b/>
          <w:sz w:val="22"/>
        </w:rPr>
        <w:t>“Minimum Transfer Amount”</w:t>
      </w:r>
      <w:r>
        <w:rPr>
          <w:sz w:val="22"/>
        </w:rPr>
        <w:t xml:space="preserve"> means with respect to Party A:  U.S. $1.</w:t>
      </w:r>
    </w:p>
    <w:p>
      <w:pPr>
        <w:pStyle w:val="Normal"/>
        <w:widowControl/>
        <w:ind w:start="720" w:end="0"/>
        <w:jc w:val="both"/>
        <w:rPr>
          <w:sz w:val="22"/>
        </w:rPr>
      </w:pPr>
      <w:r>
        <w:rPr>
          <w:sz w:val="22"/>
        </w:rPr>
      </w:r>
    </w:p>
    <w:p>
      <w:pPr>
        <w:pStyle w:val="Normal"/>
        <w:widowControl/>
        <w:ind w:firstLine="360" w:start="720" w:end="0"/>
        <w:jc w:val="both"/>
        <w:rPr/>
      </w:pPr>
      <w:r>
        <w:rPr>
          <w:b/>
          <w:sz w:val="22"/>
        </w:rPr>
        <w:t>“</w:t>
      </w:r>
      <w:r>
        <w:rPr>
          <w:b/>
          <w:sz w:val="22"/>
        </w:rPr>
        <w:t>Minimum Transfer Amount”</w:t>
      </w:r>
      <w:r>
        <w:rPr>
          <w:sz w:val="22"/>
        </w:rPr>
        <w:t xml:space="preserve"> means with respect to Party B:  U.S. $1.</w:t>
      </w:r>
    </w:p>
    <w:p>
      <w:pPr>
        <w:pStyle w:val="Normal"/>
        <w:widowControl/>
        <w:ind w:start="720" w:end="0"/>
        <w:jc w:val="both"/>
        <w:rPr>
          <w:sz w:val="22"/>
        </w:rPr>
      </w:pPr>
      <w:r>
        <w:rPr>
          <w:sz w:val="22"/>
        </w:rPr>
      </w:r>
    </w:p>
    <w:p>
      <w:pPr>
        <w:pStyle w:val="Normal"/>
        <w:widowContro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10:00 a.m.,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rPr>
            </w:pPr>
            <w:r>
              <w:rPr>
                <w:sz w:val="22"/>
              </w:rPr>
              <w:t>[X]</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widowControl/>
        <w:ind w:start="720" w:end="0"/>
        <w:jc w:val="both"/>
        <w:rPr>
          <w:sz w:val="22"/>
        </w:rPr>
      </w:pPr>
      <w:r>
        <w:rPr>
          <w:sz w:val="22"/>
        </w:rPr>
      </w:r>
    </w:p>
    <w:p>
      <w:pPr>
        <w:pStyle w:val="Normal"/>
        <w:widowControl/>
        <w:ind w:start="1080" w:end="0"/>
        <w:jc w:val="both"/>
        <w:rPr>
          <w:sz w:val="22"/>
        </w:rPr>
      </w:pPr>
      <w:r>
        <w:rPr>
          <w:sz w:val="22"/>
        </w:rPr>
        <w:t>(1)  With respect to cash, the face amount thereof; and</w:t>
      </w:r>
    </w:p>
    <w:p>
      <w:pPr>
        <w:pStyle w:val="Normal"/>
        <w:widowControl/>
        <w:ind w:start="1080" w:end="0"/>
        <w:jc w:val="both"/>
        <w:rPr>
          <w:sz w:val="22"/>
        </w:rPr>
      </w:pPr>
      <w:r>
        <w:rPr>
          <w:sz w:val="22"/>
        </w:rPr>
      </w:r>
    </w:p>
    <w:p>
      <w:pPr>
        <w:pStyle w:val="Normal"/>
        <w:widowContro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widowControl/>
        <w:ind w:start="1080" w:end="0"/>
        <w:jc w:val="both"/>
        <w:rPr>
          <w:sz w:val="22"/>
        </w:rPr>
      </w:pPr>
      <w:r>
        <w:rPr>
          <w:sz w:val="22"/>
        </w:rPr>
      </w:r>
    </w:p>
    <w:p>
      <w:pPr>
        <w:pStyle w:val="BodyTextIndent"/>
        <w:widowControl/>
        <w:rPr/>
      </w:pPr>
      <w:r>
        <w:rPr/>
        <w:t>(2)  Posted Collateral may be held only in the following jurisdictions:  Any jurisdiction within the United States.</w:t>
      </w:r>
    </w:p>
    <w:p>
      <w:pPr>
        <w:pStyle w:val="Normal"/>
        <w:widowControl/>
        <w:ind w:hanging="720" w:start="2160" w:end="0"/>
        <w:jc w:val="both"/>
        <w:rPr>
          <w:sz w:val="22"/>
        </w:rPr>
      </w:pPr>
      <w:r>
        <w:rPr>
          <w:sz w:val="22"/>
        </w:rPr>
      </w:r>
    </w:p>
    <w:p>
      <w:pPr>
        <w:pStyle w:val="Normal"/>
        <w:widowContro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widowControl/>
        <w:ind w:start="1080" w:end="0"/>
        <w:jc w:val="both"/>
        <w:rPr>
          <w:sz w:val="22"/>
        </w:rPr>
      </w:pPr>
      <w:r>
        <w:rPr>
          <w:sz w:val="22"/>
        </w:rPr>
      </w:r>
    </w:p>
    <w:p>
      <w:pPr>
        <w:pStyle w:val="Normal"/>
        <w:widowControl/>
        <w:ind w:start="1080" w:end="0"/>
        <w:jc w:val="both"/>
        <w:rPr>
          <w:sz w:val="22"/>
        </w:rPr>
      </w:pPr>
      <w:r>
        <w:rPr>
          <w:sz w:val="22"/>
        </w:rPr>
        <w:t>(2)  Posted Collateral may be held only in the following jurisdictions:  Any jurisdiction in the United States</w:t>
      </w:r>
    </w:p>
    <w:p>
      <w:pPr>
        <w:pStyle w:val="Normal"/>
        <w:widowContro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widowControl/>
        <w:ind w:hanging="720" w:start="2160" w:end="0"/>
        <w:jc w:val="both"/>
        <w:rPr>
          <w:sz w:val="22"/>
        </w:rPr>
      </w:pPr>
      <w:r>
        <w:rPr>
          <w:sz w:val="22"/>
        </w:rPr>
      </w:r>
    </w:p>
    <w:p>
      <w:pPr>
        <w:pStyle w:val="Normal"/>
        <w:widowControl/>
        <w:ind w:start="720" w:end="0"/>
        <w:jc w:val="both"/>
        <w:rPr>
          <w:sz w:val="22"/>
        </w:rPr>
      </w:pPr>
      <w:r>
        <w:rPr>
          <w:sz w:val="22"/>
        </w:rPr>
        <w:t xml:space="preserve">(ii)  </w:t>
      </w:r>
      <w:r>
        <w:rPr>
          <w:b/>
          <w:sz w:val="22"/>
        </w:rPr>
        <w:t>Use of Posted Collateral.</w:t>
      </w:r>
    </w:p>
    <w:p>
      <w:pPr>
        <w:pStyle w:val="Normal"/>
        <w:widowControl/>
        <w:ind w:start="720" w:end="0"/>
        <w:jc w:val="both"/>
        <w:rPr>
          <w:sz w:val="22"/>
        </w:rPr>
      </w:pPr>
      <w:r>
        <w:rPr>
          <w:sz w:val="22"/>
        </w:rPr>
      </w:r>
    </w:p>
    <w:p>
      <w:pPr>
        <w:pStyle w:val="Normal"/>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and</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rPr>
      </w:pPr>
      <w:r>
        <w:rPr>
          <w:sz w:val="22"/>
        </w:rPr>
      </w:r>
    </w:p>
    <w:p>
      <w:pPr>
        <w:pStyle w:val="Normal"/>
        <w:widowContro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Overnight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widowControl/>
        <w:ind w:hanging="720" w:start="1440" w:end="0"/>
        <w:jc w:val="both"/>
        <w:rPr>
          <w:sz w:val="22"/>
        </w:rPr>
      </w:pPr>
      <w:r>
        <w:rPr>
          <w:sz w:val="22"/>
        </w:rPr>
      </w:r>
    </w:p>
    <w:p>
      <w:pPr>
        <w:pStyle w:val="Normal"/>
        <w:widowContro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widowControl/>
        <w:ind w:start="900" w:end="0"/>
        <w:jc w:val="both"/>
        <w:rPr>
          <w:sz w:val="22"/>
        </w:rPr>
      </w:pPr>
      <w:r>
        <w:rPr>
          <w:sz w:val="22"/>
        </w:rPr>
      </w:r>
    </w:p>
    <w:p>
      <w:pPr>
        <w:pStyle w:val="Normal"/>
        <w:widowContro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start="900" w:end="0"/>
        <w:jc w:val="both"/>
        <w:rPr>
          <w:sz w:val="22"/>
        </w:rPr>
      </w:pPr>
      <w:r>
        <w:rPr>
          <w:sz w:val="22"/>
        </w:rPr>
      </w:r>
    </w:p>
    <w:p>
      <w:pPr>
        <w:pStyle w:val="Normal"/>
        <w:widowContro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widowControl/>
        <w:ind w:start="900" w:end="0"/>
        <w:jc w:val="both"/>
        <w:rPr>
          <w:sz w:val="22"/>
        </w:rPr>
      </w:pPr>
      <w:r>
        <w:rPr>
          <w:sz w:val="22"/>
        </w:rPr>
      </w:r>
    </w:p>
    <w:p>
      <w:pPr>
        <w:pStyle w:val="Normal"/>
        <w:widowContro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(i)</w:t>
        <w:tab/>
      </w:r>
      <w:r>
        <w:rPr>
          <w:b/>
          <w:sz w:val="22"/>
        </w:rPr>
        <w:t>Additional Representation(s) and Covenants.</w:t>
      </w:r>
    </w:p>
    <w:p>
      <w:pPr>
        <w:pStyle w:val="Normal"/>
        <w:widowControl/>
        <w:jc w:val="both"/>
        <w:rPr>
          <w:sz w:val="22"/>
        </w:rPr>
      </w:pPr>
      <w:r>
        <w:rPr>
          <w:sz w:val="22"/>
        </w:rPr>
      </w:r>
    </w:p>
    <w:p>
      <w:pPr>
        <w:pStyle w:val="Normal"/>
        <w:widowContro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widowControl/>
        <w:ind w:start="720" w:end="0"/>
        <w:jc w:val="both"/>
        <w:rPr>
          <w:sz w:val="22"/>
        </w:rPr>
      </w:pPr>
      <w:r>
        <w:rPr>
          <w:sz w:val="22"/>
        </w:rPr>
      </w:r>
    </w:p>
    <w:p>
      <w:pPr>
        <w:pStyle w:val="Normal"/>
        <w:widowControl/>
        <w:ind w:hanging="720" w:start="720" w:end="0"/>
        <w:jc w:val="both"/>
        <w:rPr>
          <w:sz w:val="22"/>
        </w:rPr>
      </w:pPr>
      <w:r>
        <w:rPr>
          <w:sz w:val="22"/>
        </w:rPr>
        <w:t>(j)</w:t>
        <w:tab/>
      </w:r>
      <w:r>
        <w:rPr>
          <w:b/>
          <w:sz w:val="22"/>
        </w:rPr>
        <w:t>Other Eligible Support and Other Posted Support.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ind w:hanging="90" w:start="720" w:end="0"/>
        <w:jc w:val="both"/>
        <w:rPr>
          <w:sz w:val="22"/>
        </w:rPr>
      </w:pPr>
      <w:r>
        <w:rPr>
          <w:sz w:val="22"/>
        </w:rPr>
      </w:r>
    </w:p>
    <w:p>
      <w:pPr>
        <w:pStyle w:val="Normal"/>
        <w:widowContro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(k)</w:t>
        <w:tab/>
      </w:r>
      <w:r>
        <w:rPr>
          <w:b/>
          <w:sz w:val="22"/>
        </w:rPr>
        <w:t>Demands and Notices.</w:t>
      </w:r>
    </w:p>
    <w:p>
      <w:pPr>
        <w:pStyle w:val="Normal"/>
        <w:widowControl/>
        <w:jc w:val="both"/>
        <w:rPr>
          <w:sz w:val="22"/>
        </w:rPr>
      </w:pPr>
      <w:r>
        <w:rPr>
          <w:sz w:val="22"/>
        </w:rPr>
      </w:r>
    </w:p>
    <w:p>
      <w:pPr>
        <w:pStyle w:val="Normal"/>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(l)</w:t>
        <w:tab/>
      </w:r>
      <w:r>
        <w:rPr>
          <w:b/>
          <w:sz w:val="22"/>
        </w:rPr>
        <w:t>Addresses for Transfers.</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A:     To be provided in notice requesting delivery/return of Eligible Credit Support/Posted Credit Support.</w:t>
      </w:r>
    </w:p>
    <w:p>
      <w:pPr>
        <w:pStyle w:val="Normal"/>
        <w:widowControl/>
        <w:ind w:start="720" w:end="0"/>
        <w:jc w:val="both"/>
        <w:rPr>
          <w:sz w:val="22"/>
        </w:rPr>
      </w:pPr>
      <w:r>
        <w:rPr>
          <w:sz w:val="22"/>
        </w:rPr>
      </w:r>
    </w:p>
    <w:p>
      <w:pPr>
        <w:pStyle w:val="Normal"/>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(m)</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  Paragraph 6(d)(i) is hereby amended by adding the following sentence:</w:t>
      </w:r>
    </w:p>
    <w:p>
      <w:pPr>
        <w:pStyle w:val="Normal"/>
        <w:widowContro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ind w:hanging="720" w:start="720" w:end="0"/>
        <w:jc w:val="both"/>
        <w:rPr>
          <w:sz w:val="22"/>
        </w:rPr>
      </w:pPr>
      <w:r>
        <w:rPr>
          <w:sz w:val="22"/>
        </w:rPr>
      </w:r>
    </w:p>
    <w:p>
      <w:pPr>
        <w:pStyle w:val="Normal"/>
        <w:widowControl/>
        <w:ind w:start="720" w:end="0"/>
        <w:jc w:val="both"/>
        <w:rPr>
          <w:sz w:val="22"/>
        </w:rPr>
      </w:pPr>
      <w:r>
        <w:rPr>
          <w:sz w:val="22"/>
        </w:rPr>
        <w:t xml:space="preserve">(iii)  Paragraph 7(i) is hereby amended by deleting the words “Eligible Collateral” and replacing them with the words “Eligible Credit Support.” </w:t>
      </w:r>
    </w:p>
    <w:p>
      <w:pPr>
        <w:sectPr>
          <w:headerReference w:type="default" r:id="rId4"/>
          <w:headerReference w:type="firs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hanging="720" w:start="720" w:end="0"/>
        <w:jc w:val="both"/>
        <w:rPr>
          <w:sz w:val="22"/>
        </w:rPr>
      </w:pPr>
      <w:r>
        <w:rPr>
          <w:sz w:val="22"/>
        </w:rPr>
      </w:r>
    </w:p>
    <w:p>
      <w:pPr>
        <w:pStyle w:val="Normal"/>
        <w:widowControl/>
        <w:jc w:val="center"/>
        <w:rPr>
          <w:b/>
          <w:sz w:val="22"/>
        </w:rPr>
      </w:pPr>
      <w:r>
        <w:rPr>
          <w:b/>
          <w:sz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widowControl/>
        <w:jc w:val="center"/>
        <w:rPr>
          <w:sz w:val="22"/>
        </w:rPr>
      </w:pPr>
      <w:r>
        <w:rPr>
          <w:b/>
          <w:sz w:val="22"/>
        </w:rPr>
        <w:t>of Annex A</w:t>
      </w:r>
    </w:p>
    <w:p>
      <w:pPr>
        <w:pStyle w:val="Normal"/>
        <w:widowControl/>
        <w:jc w:val="center"/>
        <w:rPr>
          <w:sz w:val="22"/>
        </w:rPr>
      </w:pPr>
      <w:r>
        <w:rPr>
          <w:sz w:val="22"/>
        </w:rPr>
      </w:r>
    </w:p>
    <w:p>
      <w:pPr>
        <w:pStyle w:val="Normal"/>
        <w:widowControl/>
        <w:jc w:val="center"/>
        <w:rPr>
          <w:sz w:val="22"/>
        </w:rPr>
      </w:pPr>
      <w:r>
        <w:rPr>
          <w:b/>
          <w:sz w:val="22"/>
        </w:rPr>
        <w:t>LETTER OF CREDIT PROVISIONS</w:t>
      </w:r>
    </w:p>
    <w:p>
      <w:pPr>
        <w:pStyle w:val="Normal"/>
        <w:widowControl/>
        <w:jc w:val="both"/>
        <w:rPr>
          <w:sz w:val="22"/>
        </w:rPr>
      </w:pPr>
      <w:r>
        <w:rPr>
          <w:sz w:val="22"/>
        </w:rPr>
      </w:r>
    </w:p>
    <w:p>
      <w:pPr>
        <w:pStyle w:val="Normal"/>
        <w:widowContro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widowControl/>
        <w:jc w:val="both"/>
        <w:rPr>
          <w:sz w:val="22"/>
        </w:rPr>
      </w:pPr>
      <w:r>
        <w:rPr>
          <w:sz w:val="22"/>
        </w:rPr>
      </w:r>
    </w:p>
    <w:p>
      <w:pPr>
        <w:pStyle w:val="Normal"/>
        <w:widowContro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widowControl/>
        <w:ind w:start="180" w:end="0"/>
        <w:jc w:val="both"/>
        <w:rPr>
          <w:sz w:val="22"/>
        </w:rPr>
      </w:pPr>
      <w:r>
        <w:rPr>
          <w:sz w:val="22"/>
        </w:rPr>
      </w:r>
    </w:p>
    <w:p>
      <w:pPr>
        <w:pStyle w:val="Normal"/>
        <w:widowContro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widowControl/>
        <w:ind w:start="180" w:end="0"/>
        <w:jc w:val="both"/>
        <w:rPr>
          <w:sz w:val="22"/>
        </w:rPr>
      </w:pPr>
      <w:r>
        <w:rPr>
          <w:sz w:val="22"/>
        </w:rPr>
      </w:r>
    </w:p>
    <w:p>
      <w:pPr>
        <w:pStyle w:val="Normal"/>
        <w:widowContro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widowControl/>
        <w:ind w:start="180" w:end="0"/>
        <w:jc w:val="both"/>
        <w:rPr>
          <w:sz w:val="22"/>
        </w:rPr>
      </w:pPr>
      <w:r>
        <w:rPr>
          <w:sz w:val="22"/>
        </w:rPr>
      </w:r>
    </w:p>
    <w:p>
      <w:pPr>
        <w:pStyle w:val="Normal"/>
        <w:widowContro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widowControl/>
        <w:ind w:start="540" w:end="0"/>
        <w:jc w:val="both"/>
        <w:rPr>
          <w:sz w:val="22"/>
        </w:rPr>
      </w:pPr>
      <w:r>
        <w:rPr>
          <w:sz w:val="22"/>
        </w:rPr>
      </w:r>
    </w:p>
    <w:p>
      <w:pPr>
        <w:pStyle w:val="Normal"/>
        <w:widowContro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widowControl/>
        <w:ind w:start="180" w:end="0"/>
        <w:jc w:val="both"/>
        <w:rPr>
          <w:sz w:val="22"/>
        </w:rPr>
      </w:pPr>
      <w:r>
        <w:rPr>
          <w:sz w:val="22"/>
        </w:rPr>
      </w:r>
    </w:p>
    <w:p>
      <w:pPr>
        <w:pStyle w:val="Normal"/>
        <w:widowContro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ind w:start="180" w:end="0"/>
        <w:jc w:val="both"/>
        <w:rPr>
          <w:sz w:val="22"/>
        </w:rPr>
      </w:pPr>
      <w:r>
        <w:rPr>
          <w:sz w:val="22"/>
        </w:rPr>
      </w:r>
    </w:p>
    <w:p>
      <w:pPr>
        <w:pStyle w:val="Normal"/>
        <w:widowContro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widowControl/>
        <w:ind w:start="180" w:end="0"/>
        <w:jc w:val="both"/>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widowControl/>
        <w:jc w:val="center"/>
        <w:rPr>
          <w:sz w:val="22"/>
        </w:rPr>
      </w:pPr>
      <w:r>
        <w:rPr>
          <w:b/>
          <w:sz w:val="22"/>
          <w:u w:val="single"/>
        </w:rPr>
        <w:t>SCHEDULE 1</w:t>
      </w:r>
    </w:p>
    <w:p>
      <w:pPr>
        <w:pStyle w:val="Normal"/>
        <w:widowControl/>
        <w:jc w:val="center"/>
        <w:rPr>
          <w:sz w:val="22"/>
        </w:rPr>
      </w:pPr>
      <w:r>
        <w:rPr>
          <w:sz w:val="22"/>
        </w:rPr>
      </w:r>
    </w:p>
    <w:p>
      <w:pPr>
        <w:pStyle w:val="Normal"/>
        <w:widowControl/>
        <w:jc w:val="center"/>
        <w:rPr>
          <w:sz w:val="22"/>
        </w:rPr>
      </w:pPr>
      <w:r>
        <w:rPr>
          <w:sz w:val="22"/>
        </w:rPr>
        <w:t>IRREVOCABLE TRANSFERABLE STANDBY LETTER OF CREDIT FORMAT</w:t>
      </w:r>
    </w:p>
    <w:p>
      <w:pPr>
        <w:pStyle w:val="Normal"/>
        <w:widowControl/>
        <w:jc w:val="center"/>
        <w:rPr>
          <w:sz w:val="22"/>
        </w:rPr>
      </w:pPr>
      <w:r>
        <w:rPr>
          <w:sz w:val="22"/>
        </w:rPr>
        <w:t xml:space="preserve">DATE OF ISSUANCE:  </w:t>
      </w:r>
      <w:r>
        <w:rPr>
          <w:sz w:val="22"/>
          <w:u w:val="single"/>
        </w:rPr>
        <w:tab/>
        <w:tab/>
        <w:tab/>
      </w:r>
    </w:p>
    <w:p>
      <w:pPr>
        <w:pStyle w:val="Normal"/>
        <w:widowControl/>
        <w:jc w:val="center"/>
        <w:rPr>
          <w:sz w:val="22"/>
        </w:rPr>
      </w:pPr>
      <w:r>
        <w:rPr>
          <w:sz w:val="22"/>
        </w:rPr>
      </w:r>
    </w:p>
    <w:p>
      <w:pPr>
        <w:pStyle w:val="Normal"/>
        <w:widowControl/>
        <w:rPr>
          <w:sz w:val="22"/>
        </w:rPr>
      </w:pPr>
      <w:r>
        <w:rPr>
          <w:sz w:val="22"/>
        </w:rPr>
        <w:t>[Address]</w:t>
      </w:r>
    </w:p>
    <w:p>
      <w:pPr>
        <w:pStyle w:val="Normal"/>
        <w:widowControl/>
        <w:rPr>
          <w:sz w:val="22"/>
        </w:rPr>
      </w:pPr>
      <w:r>
        <w:rPr>
          <w:sz w:val="22"/>
        </w:rPr>
      </w:r>
    </w:p>
    <w:p>
      <w:pPr>
        <w:pStyle w:val="Normal"/>
        <w:widowControl/>
        <w:rPr>
          <w:sz w:val="22"/>
        </w:rPr>
      </w:pPr>
      <w:r>
        <w:rPr>
          <w:sz w:val="22"/>
        </w:rPr>
        <w:tab/>
        <w:t>Re:  Credit No. _______________</w:t>
      </w:r>
    </w:p>
    <w:p>
      <w:pPr>
        <w:pStyle w:val="Normal"/>
        <w:widowControl/>
        <w:rPr>
          <w:sz w:val="22"/>
        </w:rPr>
      </w:pPr>
      <w:r>
        <w:rPr>
          <w:sz w:val="22"/>
        </w:rPr>
      </w:r>
    </w:p>
    <w:p>
      <w:pPr>
        <w:pStyle w:val="Normal"/>
        <w:widowContro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widowControl/>
        <w:jc w:val="both"/>
        <w:rPr>
          <w:sz w:val="22"/>
        </w:rPr>
      </w:pPr>
      <w:r>
        <w:rPr>
          <w:sz w:val="22"/>
        </w:rPr>
      </w:r>
    </w:p>
    <w:p>
      <w:pPr>
        <w:pStyle w:val="Normal"/>
        <w:widowContro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widowControl/>
        <w:tabs>
          <w:tab w:val="left" w:pos="720" w:leader="none"/>
        </w:tabs>
        <w:ind w:hanging="1440" w:start="1440" w:end="0"/>
        <w:jc w:val="both"/>
        <w:rPr>
          <w:sz w:val="22"/>
        </w:rPr>
      </w:pPr>
      <w:r>
        <w:rPr>
          <w:sz w:val="22"/>
        </w:rPr>
      </w:r>
    </w:p>
    <w:p>
      <w:pPr>
        <w:pStyle w:val="Normal"/>
        <w:widowContro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sz w:val="22"/>
        </w:rPr>
      </w:pPr>
      <w:r>
        <w:rPr>
          <w:sz w:val="22"/>
        </w:rPr>
      </w:r>
    </w:p>
    <w:p>
      <w:pPr>
        <w:pStyle w:val="Normal"/>
        <w:widowContro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widowControl/>
        <w:tabs>
          <w:tab w:val="left" w:pos="720" w:leader="none"/>
        </w:tabs>
        <w:rPr>
          <w:sz w:val="22"/>
        </w:rPr>
      </w:pPr>
      <w:r>
        <w:rPr>
          <w:sz w:val="22"/>
        </w:rPr>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widowControl/>
        <w:tabs>
          <w:tab w:val="clear" w:pos="720"/>
          <w:tab w:val="left" w:pos="4320" w:leader="none"/>
          <w:tab w:val="left" w:pos="5040" w:leader="none"/>
          <w:tab w:val="left" w:pos="5760" w:leader="none"/>
        </w:tabs>
        <w:ind w:start="5040" w:end="0"/>
        <w:rPr>
          <w:sz w:val="22"/>
        </w:rPr>
      </w:pPr>
      <w:r>
        <w:rPr>
          <w:sz w:val="22"/>
        </w:rPr>
        <w:t>[BANK SIGNATURE]</w:t>
      </w:r>
    </w:p>
    <w:p>
      <w:pPr>
        <w:pStyle w:val="Normal"/>
        <w:widowControl/>
        <w:ind w:end="180"/>
        <w:jc w:val="center"/>
        <w:rPr>
          <w:b/>
          <w:sz w:val="22"/>
        </w:rPr>
      </w:pPr>
      <w:r>
        <w:rPr>
          <w:b/>
          <w:sz w:val="22"/>
          <w:u w:val="single"/>
        </w:rPr>
        <w:t>EXHIBIT A</w:t>
      </w:r>
    </w:p>
    <w:p>
      <w:pPr>
        <w:pStyle w:val="Normal"/>
        <w:widowControl/>
        <w:ind w:end="180"/>
        <w:jc w:val="center"/>
        <w:rPr>
          <w:b/>
          <w:sz w:val="22"/>
        </w:rPr>
      </w:pPr>
      <w:r>
        <w:rPr>
          <w:b/>
          <w:sz w:val="22"/>
        </w:rPr>
      </w:r>
    </w:p>
    <w:p>
      <w:pPr>
        <w:pStyle w:val="Normal"/>
        <w:widowControl/>
        <w:ind w:end="180"/>
        <w:jc w:val="center"/>
        <w:rPr>
          <w:b/>
          <w:sz w:val="22"/>
        </w:rPr>
      </w:pPr>
      <w:r>
        <w:rPr>
          <w:b/>
          <w:sz w:val="22"/>
        </w:rPr>
        <w:t>ENRON CORP.</w:t>
      </w:r>
    </w:p>
    <w:p>
      <w:pPr>
        <w:pStyle w:val="Normal"/>
        <w:widowControl/>
        <w:spacing w:lineRule="exact" w:line="240"/>
        <w:ind w:end="180"/>
        <w:jc w:val="center"/>
        <w:rPr>
          <w:b/>
          <w:sz w:val="22"/>
          <w:u w:val="single"/>
        </w:rPr>
      </w:pPr>
      <w:r>
        <w:rPr>
          <w:b/>
          <w:sz w:val="22"/>
          <w:u w:val="single"/>
        </w:rPr>
      </w:r>
    </w:p>
    <w:p>
      <w:pPr>
        <w:pStyle w:val="Heading4"/>
        <w:widowControl/>
        <w:rPr/>
      </w:pPr>
      <w:r>
        <w:rPr/>
        <w:t>Guaranty</w:t>
      </w:r>
    </w:p>
    <w:p>
      <w:pPr>
        <w:pStyle w:val="Normal"/>
        <w:widowControl/>
        <w:spacing w:lineRule="exact" w:line="480"/>
        <w:jc w:val="both"/>
        <w:rPr>
          <w:sz w:val="22"/>
        </w:rPr>
      </w:pPr>
      <w:r>
        <w:rPr>
          <w:sz w:val="22"/>
        </w:rPr>
      </w:r>
    </w:p>
    <w:p>
      <w:pPr>
        <w:pStyle w:val="Normal"/>
        <w:widowControl/>
        <w:spacing w:lineRule="atLeast" w:line="240"/>
        <w:ind w:firstLine="720" w:end="0"/>
        <w:jc w:val="both"/>
        <w:rPr/>
      </w:pPr>
      <w:r>
        <w:rPr>
          <w:sz w:val="22"/>
        </w:rPr>
        <w:t xml:space="preserve">This Guaranty (the “Guaranty”), dated as of </w:t>
      </w:r>
      <w:r>
        <w:rPr>
          <w:sz w:val="22"/>
          <w:u w:val="single"/>
        </w:rPr>
        <w:tab/>
        <w:tab/>
      </w:r>
      <w:r>
        <w:rPr>
          <w:sz w:val="22"/>
        </w:rPr>
        <w:t xml:space="preserve">, is made and entered into by </w:t>
      </w:r>
      <w:r>
        <w:rPr>
          <w:caps/>
          <w:sz w:val="22"/>
        </w:rPr>
        <w:t>Enron Corp.</w:t>
      </w:r>
      <w:r>
        <w:rPr>
          <w:sz w:val="22"/>
        </w:rPr>
        <w:t>, an Oregon corporation (“Guarantor”).</w:t>
      </w:r>
    </w:p>
    <w:p>
      <w:pPr>
        <w:pStyle w:val="Normal"/>
        <w:keepNext w:val="true"/>
        <w:widowControl/>
        <w:spacing w:lineRule="exact" w:line="240" w:before="480" w:after="0"/>
        <w:jc w:val="center"/>
        <w:rPr>
          <w:b/>
          <w:caps/>
          <w:sz w:val="22"/>
        </w:rPr>
      </w:pPr>
      <w:r>
        <w:rPr>
          <w:b/>
          <w:caps/>
          <w:sz w:val="22"/>
        </w:rPr>
        <w:t>W I T N E S S E T H:</w:t>
      </w:r>
    </w:p>
    <w:p>
      <w:pPr>
        <w:pStyle w:val="Normal"/>
        <w:widowContro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rFonts w:ascii="Times New Roman" w:hAnsi="Times New Roman" w:cs="Times New Roman"/>
          <w:sz w:val="22"/>
        </w:rPr>
      </w:pPr>
      <w:r>
        <w:rPr>
          <w:rFonts w:cs="Times New Roman"/>
          <w:sz w:val="22"/>
        </w:rPr>
      </w:r>
    </w:p>
    <w:p>
      <w:pPr>
        <w:pStyle w:val="Normal"/>
        <w:widowContro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$17,000,000.</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widowControl/>
        <w:spacing w:lineRule="atLeast" w:line="240"/>
        <w:ind w:firstLine="720" w:end="0"/>
        <w:jc w:val="both"/>
        <w:rPr>
          <w:sz w:val="22"/>
        </w:rPr>
      </w:pPr>
      <w:r>
        <w:rPr>
          <w:sz w:val="22"/>
        </w:rPr>
      </w:r>
    </w:p>
    <w:p>
      <w:pPr>
        <w:pStyle w:val="Normal"/>
        <w:keepNext w:val="true"/>
        <w:widowContro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widowControl/>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widowControl/>
              <w:spacing w:lineRule="atLeast" w:line="240"/>
              <w:rPr>
                <w:color w:val="000000"/>
                <w:sz w:val="22"/>
              </w:rPr>
            </w:pPr>
            <w:r>
              <w:rPr>
                <w:color w:val="000000"/>
                <w:sz w:val="22"/>
              </w:rPr>
              <w:t>To Counterparty:</w:t>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rPr>
              <w:t>Florida Power &amp; Light Company</w:t>
            </w:r>
          </w:p>
        </w:tc>
        <w:tc>
          <w:tcPr>
            <w:tcW w:w="1618" w:type="dxa"/>
            <w:tcBorders/>
          </w:tcPr>
          <w:p>
            <w:pPr>
              <w:pStyle w:val="Normal"/>
              <w:keepNext w:val="true"/>
              <w:keepLines/>
              <w:widowControl/>
              <w:spacing w:lineRule="atLeast" w:line="240"/>
              <w:rPr>
                <w:color w:val="000000"/>
                <w:sz w:val="22"/>
              </w:rPr>
            </w:pPr>
            <w:r>
              <w:rPr>
                <w:color w:val="000000"/>
                <w:sz w:val="22"/>
              </w:rPr>
              <w:t>To Guarantor:</w:t>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widowControl/>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492" w:type="dxa"/>
            <w:tcBorders/>
          </w:tcPr>
          <w:p>
            <w:pPr>
              <w:pStyle w:val="Normal"/>
              <w:keepNext w:val="true"/>
              <w:keepLines/>
              <w:widowControl/>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widowControl/>
              <w:snapToGrid w:val="false"/>
              <w:spacing w:lineRule="atLeast" w:line="240"/>
              <w:rPr>
                <w:color w:val="000000"/>
                <w:sz w:val="22"/>
              </w:rPr>
            </w:pPr>
            <w:r>
              <w:rPr>
                <w:color w:val="000000"/>
                <w:sz w:val="22"/>
              </w:rPr>
            </w:r>
          </w:p>
        </w:tc>
        <w:tc>
          <w:tcPr>
            <w:tcW w:w="353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Fax No.:  (713) 646-3422</w:t>
            </w:r>
          </w:p>
        </w:tc>
      </w:tr>
    </w:tbl>
    <w:p>
      <w:pPr>
        <w:pStyle w:val="Normal"/>
        <w:widowControl/>
        <w:tabs>
          <w:tab w:val="clear" w:pos="720"/>
          <w:tab w:val="left" w:pos="2880" w:leader="none"/>
          <w:tab w:val="left" w:pos="6480" w:leader="none"/>
        </w:tabs>
        <w:spacing w:lineRule="exact" w:line="240"/>
        <w:ind w:start="720" w:end="0"/>
        <w:jc w:val="both"/>
        <w:rPr>
          <w:sz w:val="22"/>
        </w:rPr>
      </w:pPr>
      <w:r>
        <w:rPr>
          <w:sz w:val="22"/>
        </w:rPr>
      </w:r>
    </w:p>
    <w:p>
      <w:pPr>
        <w:pStyle w:val="Normal"/>
        <w:widowContro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spacing w:lineRule="exact" w:line="240"/>
        <w:ind w:start="720" w:end="0"/>
        <w:jc w:val="both"/>
        <w:rPr>
          <w:sz w:val="22"/>
        </w:rPr>
      </w:pPr>
      <w:r>
        <w:rPr>
          <w:sz w:val="22"/>
        </w:rPr>
      </w:r>
    </w:p>
    <w:p>
      <w:pPr>
        <w:pStyle w:val="Normal"/>
        <w:widowContro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widowControl/>
        <w:spacing w:lineRule="atLeast" w:line="240"/>
        <w:ind w:firstLine="720" w:end="0"/>
        <w:jc w:val="both"/>
        <w:rPr>
          <w:sz w:val="22"/>
        </w:rPr>
      </w:pPr>
      <w:r>
        <w:rPr>
          <w:sz w:val="22"/>
        </w:rPr>
      </w:r>
    </w:p>
    <w:p>
      <w:pPr>
        <w:pStyle w:val="Normal"/>
        <w:widowControl/>
        <w:spacing w:lineRule="atLeast" w:line="240"/>
        <w:ind w:start="5040" w:end="0"/>
        <w:jc w:val="both"/>
        <w:rPr>
          <w:b/>
          <w:sz w:val="22"/>
        </w:rPr>
      </w:pPr>
      <w:r>
        <w:rPr>
          <w:b/>
          <w:sz w:val="22"/>
        </w:rPr>
        <w:t>ENRON CORP.</w:t>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sz w:val="22"/>
        </w:rPr>
      </w:pPr>
      <w:r>
        <w:rPr>
          <w:sz w:val="22"/>
        </w:rPr>
        <w:t xml:space="preserve">By:  </w:t>
      </w:r>
      <w:r>
        <w:rPr>
          <w:sz w:val="22"/>
          <w:u w:val="single"/>
        </w:rPr>
        <w:tab/>
        <w:tab/>
        <w:tab/>
        <w:tab/>
        <w:tab/>
        <w:tab/>
      </w:r>
    </w:p>
    <w:p>
      <w:pPr>
        <w:pStyle w:val="Normal"/>
        <w:widowControl/>
        <w:spacing w:lineRule="atLeast" w:line="240"/>
        <w:ind w:start="5040" w:end="0"/>
        <w:jc w:val="both"/>
        <w:rPr>
          <w:sz w:val="22"/>
        </w:rPr>
      </w:pPr>
      <w:r>
        <w:rPr>
          <w:sz w:val="22"/>
        </w:rPr>
        <w:t xml:space="preserve">Name:  </w:t>
      </w:r>
      <w:r>
        <w:rPr>
          <w:sz w:val="22"/>
          <w:u w:val="single"/>
        </w:rPr>
        <w:tab/>
        <w:tab/>
        <w:tab/>
        <w:tab/>
        <w:tab/>
        <w:tab/>
      </w:r>
    </w:p>
    <w:p>
      <w:pPr>
        <w:pStyle w:val="Normal"/>
        <w:widowControl/>
        <w:spacing w:lineRule="atLeast" w:line="240"/>
        <w:ind w:start="5040" w:end="0"/>
        <w:jc w:val="both"/>
        <w:rPr>
          <w:sz w:val="22"/>
        </w:rPr>
      </w:pPr>
      <w:r>
        <w:rPr>
          <w:sz w:val="22"/>
        </w:rPr>
        <w:t xml:space="preserve">Title:  </w:t>
      </w:r>
      <w:r>
        <w:rPr>
          <w:sz w:val="22"/>
          <w:u w:val="single"/>
        </w:rPr>
        <w:tab/>
        <w:tab/>
        <w:tab/>
        <w:tab/>
        <w:tab/>
        <w:tab/>
      </w:r>
    </w:p>
    <w:p>
      <w:pPr>
        <w:pStyle w:val="Normal"/>
        <w:widowControl/>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MIA_1998:570710-2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/mnt/main-storage/datasets/enron-docs/doc/572856_11.DOC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sz w:val="24"/>
      </w:rPr>
    </w:pPr>
    <w:r>
      <w:rPr>
        <w:sz w:val="24"/>
      </w:rPr>
      <w:t>EXHIBIT A</w:t>
    </w:r>
  </w:p>
  <w:p>
    <w:pPr>
      <w:pStyle w:val="Expanded"/>
      <w:widowControl/>
      <w:spacing w:before="0" w:after="0"/>
      <w:rPr>
        <w:b w:val="false"/>
        <w:caps w:val="false"/>
        <w:smallCaps w:val="false"/>
        <w:spacing w:val="0"/>
        <w:sz w:val="24"/>
      </w:rPr>
    </w:pPr>
    <w:r>
      <w:rPr>
        <w:b w:val="false"/>
        <w:caps w:val="false"/>
        <w:smallCaps w:val="false"/>
        <w:spacing w:val="0"/>
        <w:sz w:val="24"/>
      </w:rPr>
      <w:t>to Paragraph 13</w:t>
    </w:r>
  </w:p>
  <w:p>
    <w:pPr>
      <w:pStyle w:val="Normal"/>
      <w:widowControl/>
      <w:jc w:val="center"/>
      <w:rPr>
        <w:sz w:val="24"/>
      </w:rPr>
    </w:pPr>
    <w:r>
      <w:rPr>
        <w:sz w:val="24"/>
      </w:rPr>
      <w:t>of Annex A</w:t>
    </w:r>
  </w:p>
  <w:p>
    <w:pPr>
      <w:pStyle w:val="Footer"/>
      <w:jc w:val="center"/>
      <w:rPr/>
    </w:pPr>
    <w:r>
      <w:rPr>
        <w:sz w:val="24"/>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4"/>
      </w:rPr>
    </w:pPr>
    <w:r>
      <w:rPr>
        <w:sz w:val="24"/>
      </w:rPr>
      <w:t>Exhibit A</w:t>
    </w:r>
  </w:p>
  <w:p>
    <w:pPr>
      <w:pStyle w:val="Footer"/>
      <w:widowControl/>
      <w:tabs>
        <w:tab w:val="clear" w:pos="4320"/>
        <w:tab w:val="right" w:pos="8640" w:leader="none"/>
      </w:tabs>
      <w:ind w:end="360"/>
      <w:jc w:val="center"/>
      <w:rPr/>
    </w:pPr>
    <w:r>
      <w:rPr>
        <w:sz w:val="24"/>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680" w:leader="none"/>
        <w:tab w:val="right" w:pos="9360" w:leader="none"/>
      </w:tabs>
      <w:spacing w:lineRule="exact" w:line="240"/>
      <w:ind w:end="-1440"/>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2880"/>
        </w:tabs>
        <w:ind w:start="5040" w:hanging="2880"/>
      </w:pPr>
    </w:lvl>
  </w:abstractNum>
  <w:abstractNum w:abstractNumId="3">
    <w:lvl w:ilvl="0">
      <w:start w:val="6"/>
      <w:numFmt w:val="lowerLetter"/>
      <w:lvlText w:val="(%1)"/>
      <w:lvlJc w:val="start"/>
      <w:pPr>
        <w:tabs>
          <w:tab w:val="num" w:pos="1530"/>
        </w:tabs>
        <w:ind w:start="2250" w:hanging="1530"/>
      </w:pPr>
    </w:lvl>
  </w:abstractNum>
  <w:abstractNum w:abstractNumId="4">
    <w:lvl w:ilvl="0">
      <w:start w:val="5"/>
      <w:numFmt w:val="lowerRoman"/>
      <w:lvlText w:val="(%1)"/>
      <w:lvlJc w:val="start"/>
      <w:pPr>
        <w:tabs>
          <w:tab w:val="num" w:pos="2880"/>
        </w:tabs>
        <w:ind w:start="5040" w:hanging="2880"/>
      </w:pPr>
    </w:lvl>
  </w:abstractNum>
  <w:abstractNum w:abstractNumId="5">
    <w:lvl w:ilvl="0">
      <w:start w:val="3"/>
      <w:numFmt w:val="lowerRoman"/>
      <w:lvlText w:val="(%1)"/>
      <w:lvlJc w:val="start"/>
      <w:pPr>
        <w:tabs>
          <w:tab w:val="num" w:pos="2880"/>
        </w:tabs>
        <w:ind w:start="5040" w:hanging="2880"/>
      </w:pPr>
    </w:lvl>
  </w:abstractNum>
  <w:abstractNum w:abstractNumId="6">
    <w:lvl w:ilvl="0">
      <w:start w:val="1"/>
      <w:numFmt w:val="lowerRoman"/>
      <w:lvlText w:val="(%1)"/>
      <w:lvlJc w:val="start"/>
      <w:pPr>
        <w:tabs>
          <w:tab w:val="num" w:pos="2880"/>
        </w:tabs>
        <w:ind w:start="5040" w:hanging="2880"/>
      </w:pPr>
    </w:lvl>
  </w:abstractNum>
  <w:abstractNum w:abstractNumId="7">
    <w:lvl w:ilvl="0">
      <w:start w:val="2"/>
      <w:numFmt w:val="lowerRoman"/>
      <w:lvlText w:val="(%1)"/>
      <w:lvlJc w:val="start"/>
      <w:pPr>
        <w:tabs>
          <w:tab w:val="num" w:pos="2880"/>
        </w:tabs>
        <w:ind w:start="5040" w:hanging="2880"/>
      </w:pPr>
    </w:lvl>
  </w:abstractNum>
  <w:abstractNum w:abstractNumId="8">
    <w:lvl w:ilvl="0">
      <w:start w:val="4"/>
      <w:numFmt w:val="lowerLetter"/>
      <w:lvlText w:val="(%1)"/>
      <w:lvlJc w:val="start"/>
      <w:pPr>
        <w:tabs>
          <w:tab w:val="num" w:pos="1530"/>
        </w:tabs>
        <w:ind w:start="2250" w:hanging="1530"/>
      </w:pPr>
    </w:lvl>
  </w:abstractNum>
  <w:abstractNum w:abstractNumId="9">
    <w:lvl w:ilvl="0">
      <w:start w:val="7"/>
      <w:numFmt w:val="lowerLetter"/>
      <w:lvlText w:val="(%1)"/>
      <w:lvlJc w:val="start"/>
      <w:pPr>
        <w:tabs>
          <w:tab w:val="num" w:pos="1530"/>
        </w:tabs>
        <w:ind w:start="2250" w:hanging="1530"/>
      </w:pPr>
    </w:lvl>
  </w:abstractNum>
  <w:abstractNum w:abstractNumId="10">
    <w:lvl w:ilvl="0">
      <w:start w:val="8"/>
      <w:numFmt w:val="lowerLetter"/>
      <w:lvlText w:val="(%1)"/>
      <w:lvlJc w:val="start"/>
      <w:pPr>
        <w:tabs>
          <w:tab w:val="num" w:pos="1530"/>
        </w:tabs>
        <w:ind w:start="2250" w:hanging="1530"/>
      </w:pPr>
    </w:lvl>
  </w:abstractNum>
  <w:abstractNum w:abstractNumId="11">
    <w:lvl w:ilvl="0">
      <w:start w:val="5"/>
      <w:numFmt w:val="lowerLetter"/>
      <w:lvlText w:val="(%1)"/>
      <w:lvlJc w:val="start"/>
      <w:pPr>
        <w:tabs>
          <w:tab w:val="num" w:pos="1530"/>
        </w:tabs>
        <w:ind w:start="2250" w:hanging="1530"/>
      </w:pPr>
    </w:lvl>
  </w:abstractNum>
  <w:abstractNum w:abstractNumId="12">
    <w:lvl w:ilvl="0">
      <w:start w:val="3"/>
      <w:numFmt w:val="lowerLetter"/>
      <w:lvlText w:val="(%1)"/>
      <w:lvlJc w:val="start"/>
      <w:pPr>
        <w:tabs>
          <w:tab w:val="num" w:pos="1530"/>
        </w:tabs>
        <w:ind w:start="2250" w:hanging="153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 w:hAnsi="CG Times" w:cs="CG Times"/>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ind w:hanging="0" w:start="1080" w:end="0"/>
      <w:jc w:val="both"/>
    </w:pPr>
    <w:rPr>
      <w:sz w:val="22"/>
    </w:rPr>
  </w:style>
  <w:style w:type="paragraph" w:styleId="BodyTextIndent2">
    <w:name w:val="Body Text Indent 2"/>
    <w:basedOn w:val="Normal"/>
    <w:qFormat/>
    <w:pPr>
      <w:tabs>
        <w:tab w:val="clear" w:pos="720"/>
        <w:tab w:val="left" w:pos="1350" w:leader="none"/>
      </w:tabs>
      <w:ind w:firstLine="720" w:start="0" w:end="0"/>
      <w:jc w:val="both"/>
    </w:pPr>
    <w:rPr>
      <w:rFonts w:ascii="Tms Rmn" w:hAnsi="Tms Rmn" w:cs="Tms Rm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2000-03-27T15:41:00Z</dcterms:created>
  <dc:creator>mheard</dc:creator>
  <dc:description/>
  <dc:language>en-CA</dc:language>
  <cp:lastModifiedBy>Steel Hector &amp; Davis LLP</cp:lastModifiedBy>
  <cp:lastPrinted>2000-03-17T18:06:00Z</cp:lastPrinted>
  <dcterms:modified xsi:type="dcterms:W3CDTF">2000-03-27T15:41:00Z</dcterms:modified>
  <cp:revision>2</cp:revision>
  <dc:subject/>
  <dc:title>ISDA Multicurrency Agreement</dc:title>
</cp:coreProperties>
</file>