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u w:val="single"/>
        </w:rPr>
      </w:pPr>
      <w:r>
        <w:rPr>
          <w:b/>
          <w:sz w:val="22"/>
          <w:u w:val="single"/>
        </w:rPr>
        <w:t>[DRAFT OF 10/18/00</w:t>
      </w:r>
    </w:p>
    <w:p>
      <w:pPr>
        <w:pStyle w:val="Normal"/>
        <w:jc w:val="end"/>
        <w:rPr>
          <w:i/>
          <w:i/>
          <w:sz w:val="22"/>
        </w:rPr>
      </w:pPr>
      <w:r>
        <w:rPr>
          <w:i/>
          <w:sz w:val="22"/>
        </w:rPr>
        <w:t>execution copy except</w:t>
      </w:r>
    </w:p>
    <w:p>
      <w:pPr>
        <w:pStyle w:val="Normal"/>
        <w:jc w:val="end"/>
        <w:rPr/>
      </w:pPr>
      <w:r>
        <w:rPr>
          <w:i/>
          <w:sz w:val="22"/>
        </w:rPr>
        <w:t xml:space="preserve"> </w:t>
      </w:r>
      <w:r>
        <w:rPr>
          <w:i/>
          <w:sz w:val="22"/>
        </w:rPr>
        <w:t>for form of Guaranty</w:t>
      </w:r>
      <w:r>
        <w:rPr>
          <w:b/>
          <w:sz w:val="22"/>
          <w:u w:val="single"/>
        </w:rPr>
        <w:t>]</w:t>
      </w:r>
    </w:p>
    <w:p>
      <w:pPr>
        <w:pStyle w:val="Normal"/>
        <w:jc w:val="end"/>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sz w:val="24"/>
        </w:rPr>
      </w:pPr>
      <w:r>
        <w:rPr>
          <w:rFonts w:cs="CG Times" w:ascii="CG Times" w:hAnsi="CG Times"/>
          <w:b/>
          <w:sz w:val="24"/>
        </w:rPr>
        <w:t>SCHEDULE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sz w:val="24"/>
        </w:rPr>
      </w:pPr>
      <w:r>
        <w:rPr>
          <w:rFonts w:cs="CG Times" w:ascii="CG Times" w:hAnsi="CG Times"/>
          <w:b/>
          <w:sz w:val="24"/>
        </w:rPr>
        <w:t>to the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Fonts w:cs="CG Times" w:ascii="CG Times" w:hAnsi="CG Times"/>
          <w:b/>
          <w:sz w:val="24"/>
        </w:rPr>
        <w:t>ISDA</w:t>
      </w:r>
      <w:r>
        <w:rPr>
          <w:rFonts w:cs="CG Times" w:ascii="CG Times" w:hAnsi="CG Times"/>
          <w:b/>
          <w:sz w:val="24"/>
          <w:vertAlign w:val="superscript"/>
        </w:rPr>
        <w:t>®</w:t>
      </w:r>
      <w:r>
        <w:rPr>
          <w:rFonts w:cs="CG Times" w:ascii="CG Times" w:hAnsi="CG Times"/>
          <w:b/>
          <w:sz w:val="24"/>
        </w:rPr>
        <w:t xml:space="preserve"> MASTER AGREEMENT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sz w:val="24"/>
          <w:u w:val="single"/>
        </w:rPr>
      </w:pPr>
      <w:r>
        <w:rPr>
          <w:rFonts w:cs="CG Times" w:ascii="CG Times" w:hAnsi="CG Times"/>
          <w:b/>
          <w:sz w:val="24"/>
        </w:rPr>
        <w:t>(Multicurrency--Cross Border © 1992)</w:t>
      </w:r>
    </w:p>
    <w:p>
      <w:pPr>
        <w:pStyle w:val="Normal"/>
        <w:tabs>
          <w:tab w:val="clear" w:pos="720"/>
          <w:tab w:val="center" w:pos="5760" w:leader="none"/>
        </w:tabs>
        <w:spacing w:before="120" w:after="0"/>
        <w:jc w:val="center"/>
        <w:rPr>
          <w:b/>
          <w:sz w:val="22"/>
        </w:rPr>
      </w:pPr>
      <w:r>
        <w:rPr>
          <w:b/>
          <w:sz w:val="22"/>
        </w:rPr>
        <w:t>dated as of October [__],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FLORIDA POWER &amp; LIGHT COMPANY, a corporation organized under the law of the State of Florida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color w:val="000000"/>
          <w:sz w:val="22"/>
        </w:rPr>
        <w:t xml:space="preserve">); </w:t>
      </w:r>
      <w:r>
        <w:rPr>
          <w:color w:val="000000"/>
          <w:sz w:val="22"/>
          <w:u w:val="single"/>
        </w:rPr>
        <w:t>provided</w:t>
      </w:r>
      <w:r>
        <w:rPr>
          <w:color w:val="000000"/>
          <w:sz w:val="22"/>
        </w:rPr>
        <w:t xml:space="preserve">, </w:t>
      </w:r>
      <w:r>
        <w:rPr>
          <w:color w:val="000000"/>
          <w:sz w:val="22"/>
          <w:u w:val="single"/>
        </w:rPr>
        <w:t>that</w:t>
      </w:r>
      <w:r>
        <w:rPr>
          <w:color w:val="000000"/>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sz w:val="22"/>
        </w:rPr>
      </w:pPr>
      <w:r>
        <w:rPr>
          <w:sz w:val="22"/>
        </w:rPr>
      </w:r>
    </w:p>
    <w:p>
      <w:pPr>
        <w:pStyle w:val="Normal"/>
        <w:tabs>
          <w:tab w:val="left" w:pos="90" w:leader="none"/>
          <w:tab w:val="left" w:pos="720" w:leader="none"/>
          <w:tab w:val="left" w:pos="144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spacing w:before="0" w:after="240"/>
        <w:jc w:val="both"/>
        <w:rPr/>
      </w:pPr>
      <w:r>
        <w:rPr>
          <w:sz w:val="22"/>
        </w:rPr>
        <w:tab/>
        <w:tab/>
        <w:t>(h)</w:t>
        <w:tab/>
      </w:r>
      <w:r>
        <w:rPr>
          <w:b/>
          <w:sz w:val="22"/>
        </w:rPr>
        <w:t>Illegality.</w:t>
      </w:r>
      <w:r>
        <w:rPr>
          <w:sz w:val="22"/>
        </w:rPr>
        <w:t xml:space="preserve">  For the purpose of Section 5(b)(i), the obligation of a party to comply with any directive issued or given by any governmental agency or authority of competent jurisdiction which has the result referred to in Section 5(b)(i) will be deemed to be an "illegality."</w:t>
      </w:r>
    </w:p>
    <w:p>
      <w:pPr>
        <w:pStyle w:val="Normal"/>
        <w:tabs>
          <w:tab w:val="left" w:pos="90" w:leader="none"/>
          <w:tab w:val="left" w:pos="720" w:leader="none"/>
          <w:tab w:val="left" w:pos="144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jc w:val="both"/>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Party A is a corporation organized under the laws of the State of Delaware</w:t>
      </w:r>
      <w:r>
        <w:rPr>
          <w:rFonts w:cs="CG Times" w:ascii="CG Times" w:hAnsi="CG Times"/>
          <w:sz w:val="24"/>
        </w:rPr>
        <w:t xml:space="preserve"> </w:t>
      </w:r>
      <w:r>
        <w:rPr>
          <w:sz w:val="22"/>
        </w:rPr>
        <w:t>and its U.S. taxpayer identification number is 76-0318139</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Party B is a corporation organized under the laws of the State of Florida and its U.S. taxpayer identification number is 59-0247775</w:t>
      </w:r>
      <w:r>
        <w:rPr>
          <w:rFonts w:cs="CG Times" w:ascii="CG Times" w:hAnsi="CG Times"/>
          <w:sz w:val="24"/>
        </w:rPr>
        <w:t>.</w:t>
      </w:r>
    </w:p>
    <w:p>
      <w:pPr>
        <w:pStyle w:val="Normal"/>
        <w:spacing w:lineRule="exact" w:line="240"/>
        <w:jc w:val="both"/>
        <w:rPr>
          <w:b/>
          <w:sz w:val="22"/>
        </w:rPr>
      </w:pPr>
      <w:r>
        <w:rPr>
          <w:b/>
          <w:sz w:val="22"/>
        </w:rPr>
      </w:r>
    </w:p>
    <w:p>
      <w:pPr>
        <w:pStyle w:val="Normal"/>
        <w:spacing w:lineRule="exact" w:line="240"/>
        <w:jc w:val="both"/>
        <w:rPr>
          <w:b/>
          <w:sz w:val="22"/>
        </w:rPr>
      </w:pPr>
      <w:r>
        <w:rPr>
          <w:b/>
          <w:sz w:val="22"/>
        </w:rPr>
      </w:r>
    </w:p>
    <w:p>
      <w:pPr>
        <w:pStyle w:val="Normal"/>
        <w:spacing w:lineRule="exact" w:line="24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sz w:val="22"/>
        </w:rPr>
        <w:t>(a)</w:t>
        <w:tab/>
        <w:t>Tax forms, documents, or certificates to be delivered are:  None.</w:t>
      </w:r>
      <w:r>
        <w:br w:type="page"/>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b/>
                <w:sz w:val="22"/>
              </w:rPr>
            </w:pPr>
            <w:r>
              <w:rPr>
                <w:b/>
                <w:sz w:val="22"/>
              </w:rPr>
              <w:t>Covered by Section 3(d) Representation</w:t>
            </w:r>
          </w:p>
          <w:p>
            <w:pPr>
              <w:pStyle w:val="Normal"/>
              <w:spacing w:lineRule="atLeast" w:line="240"/>
              <w:rPr>
                <w:b/>
                <w:sz w:val="22"/>
              </w:rPr>
            </w:pPr>
            <w:r>
              <w:rPr>
                <w:b/>
                <w:sz w:val="22"/>
              </w:rPr>
            </w:r>
          </w:p>
        </w:tc>
      </w:tr>
      <w:tr>
        <w:trPr/>
        <w:tc>
          <w:tcPr>
            <w:tcW w:w="1926" w:type="dxa"/>
            <w:tcBorders/>
          </w:tcPr>
          <w:p>
            <w:pPr>
              <w:pStyle w:val="Normal"/>
              <w:spacing w:lineRule="atLeast" w:line="240" w:before="240" w:after="0"/>
              <w:jc w:val="both"/>
              <w:rPr>
                <w:b/>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 if such Financial State- ment is not available on “EDGAR” or its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 if such Financial Statement is not available on “EDGAR” or its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Florida Power &amp; Light Company, </w:t>
            </w:r>
          </w:p>
          <w:p>
            <w:pPr>
              <w:pStyle w:val="Normal"/>
              <w:keepNext w:val="true"/>
              <w:tabs>
                <w:tab w:val="clear" w:pos="720"/>
                <w:tab w:val="left" w:pos="3762" w:leader="none"/>
                <w:tab w:val="left" w:pos="4230" w:leader="none"/>
                <w:tab w:val="left" w:pos="9360" w:leader="none"/>
              </w:tabs>
              <w:spacing w:lineRule="exact" w:line="240"/>
              <w:jc w:val="both"/>
              <w:rPr/>
            </w:pPr>
            <w:r>
              <w:rPr>
                <w:rStyle w:val="FOOTNOTETEX"/>
                <w:rFonts w:cs="Times New Roman"/>
                <w:sz w:val="22"/>
              </w:rPr>
              <w:t xml:space="preserve">c/o Energy Marketing &amp; Trading Division, 11770 U.S. Highway One, </w:t>
            </w:r>
          </w:p>
          <w:p>
            <w:pPr>
              <w:pStyle w:val="Normal"/>
              <w:keepNext w:val="true"/>
              <w:tabs>
                <w:tab w:val="clear" w:pos="720"/>
                <w:tab w:val="left" w:pos="3762" w:leader="none"/>
                <w:tab w:val="left" w:pos="4230" w:leader="none"/>
                <w:tab w:val="left" w:pos="9360" w:leader="none"/>
              </w:tabs>
              <w:spacing w:lineRule="exact" w:line="240"/>
              <w:jc w:val="both"/>
              <w:rPr>
                <w:sz w:val="22"/>
              </w:rPr>
            </w:pPr>
            <w:r>
              <w:rPr>
                <w:rStyle w:val="FOOTNOTETEX"/>
                <w:rFonts w:cs="Times New Roman"/>
                <w:sz w:val="22"/>
              </w:rPr>
              <w:t>North Palm Beach, Florida 33408</w:t>
            </w:r>
          </w:p>
          <w:p>
            <w:pPr>
              <w:pStyle w:val="Normal"/>
              <w:keepNext w:val="true"/>
              <w:tabs>
                <w:tab w:val="clear" w:pos="720"/>
                <w:tab w:val="left" w:pos="3762" w:leader="none"/>
                <w:tab w:val="left" w:pos="4230" w:leader="none"/>
                <w:tab w:val="left" w:pos="9360" w:leader="none"/>
              </w:tabs>
              <w:spacing w:lineRule="exact" w:line="240"/>
              <w:jc w:val="both"/>
              <w:rPr>
                <w:sz w:val="22"/>
              </w:rPr>
            </w:pPr>
            <w:r>
              <w:rPr/>
              <w:t>Attn:  Director of Contracts</w:t>
            </w:r>
          </w:p>
        </w:tc>
        <w:tc>
          <w:tcPr>
            <w:tcW w:w="3290" w:type="dxa"/>
            <w:tcBorders/>
          </w:tcPr>
          <w:p>
            <w:pPr>
              <w:pStyle w:val="Normal"/>
              <w:ind w:start="32" w:end="0"/>
              <w:rPr/>
            </w:pPr>
            <w:r>
              <w:rPr>
                <w:rStyle w:val="FOOTNOTETEX"/>
                <w:rFonts w:cs="Times New Roman"/>
                <w:sz w:val="22"/>
              </w:rPr>
              <w:t xml:space="preserve"> </w:t>
            </w:r>
            <w:r>
              <w:rPr>
                <w:rStyle w:val="FOOTNOTETEX"/>
                <w:rFonts w:cs="Times New Roman"/>
                <w:sz w:val="22"/>
              </w:rPr>
              <w:t>Facsimile No.:  (561) 625-7504</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(561) 625-7560</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FOOTNOTETEX"/>
          <w:rFonts w:cs="Times New Roman"/>
          <w:sz w:val="22"/>
        </w:rPr>
        <w:t>All notices or other communications to Party B are addressed to the attention of its Director of Contracts (with an additional copy in the case of notices or other communications relating to Section 2(d) ("Deduction or Withholding for Tax"), 4(a) ("Furnish Specified Information"), 5 ("Events of Default and Termination Events"), 6 ("Early Termination"), 7 ("Transfer") or 13 ("Governing Law and Jurisdiction") of this Agreement, or Part 5 ("Miscellaneuous") of this Schedule, addressed to the attention of its General Counsel.</w:t>
      </w:r>
    </w:p>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w:t>
      </w:r>
      <w:r>
        <w:rPr>
          <w:rStyle w:val="FOOTNOTETEX"/>
          <w:sz w:val="24"/>
        </w:rPr>
        <w:t xml:space="preserve">will be </w:t>
      </w:r>
      <w:r>
        <w:rPr>
          <w:sz w:val="22"/>
        </w:rPr>
        <w:t xml:space="preserve">Party A, </w:t>
      </w:r>
      <w:r>
        <w:rPr>
          <w:rStyle w:val="FOOTNOTETEX"/>
          <w:sz w:val="24"/>
        </w:rPr>
        <w:t>unless Party A is a Defaulting Party, in which case the Calculation Agent will be Party B</w:t>
      </w:r>
      <w:r>
        <w:rPr>
          <w:sz w:val="22"/>
        </w:rPr>
        <w:t>.</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24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(f)</w:t>
        <w:tab/>
      </w:r>
      <w:r>
        <w:rPr>
          <w:b/>
          <w:sz w:val="22"/>
        </w:rPr>
        <w:t>Netting of Payments.</w:t>
      </w:r>
      <w:r>
        <w:rPr>
          <w:sz w:val="22"/>
        </w:rPr>
        <w:t xml:space="preserve">  </w:t>
      </w:r>
      <w:r>
        <w:rPr>
          <w:rStyle w:val="FOOTNOTETEX"/>
          <w:rFonts w:cs="Times New Roman"/>
          <w:sz w:val="22"/>
        </w:rPr>
        <w:t xml:space="preserve">The limitation set forth in subparagraph (ii) of Section 2(c) of this Agreement will not apply and netting pursuant to Section 2(c) will apply across all Transactions under this Agreement. </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w:t>
      </w:r>
      <w:r>
        <w:rPr>
          <w:sz w:val="22"/>
        </w:rPr>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(Title 9 of the U.S. Code) and conducted in accordance with the American Arbitration Association ("AAA") Commercial Arbitration Rules.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AAA Commercial Arbitration Rules,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Any arbitration proceeding shall be conducted solely on written submissions by the parties unless the arbitrators determine other proceedings are required under the circumstances.  Within thirty (30) days of the notice of initiation of the arbitration procedure, each party shall select one arbitrator.  The two arbitrators shall promptly select a third arbitrator.  The third arbitrator shall be a person who has over eight years professional experience in over-the-counter derivative products, who has not previously been employed by either party or any Credit Support Provider thereof and who has no direct or indirect interest in either party, any Credit Support Provider thereof,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ind w:start="720" w:end="0"/>
        <w:jc w:val="both"/>
        <w:rPr>
          <w:b/>
          <w:sz w:val="22"/>
        </w:rPr>
      </w:pPr>
      <w:r>
        <w:rPr>
          <w:b/>
          <w:sz w:val="22"/>
        </w:rPr>
      </w:r>
    </w:p>
    <w:p>
      <w:pPr>
        <w:pStyle w:val="Normal"/>
        <w:tabs>
          <w:tab w:val="left" w:pos="720" w:leader="none"/>
          <w:tab w:val="left" w:pos="2610" w:leader="none"/>
        </w:tabs>
        <w:ind w:start="720" w:end="0"/>
        <w:jc w:val="both"/>
        <w:rPr/>
      </w:pPr>
      <w:r>
        <w:rPr>
          <w:b/>
          <w:sz w:val="22"/>
        </w:rPr>
        <w:t xml:space="preserve">No Waivers Implied: </w:t>
      </w:r>
      <w:r>
        <w:rPr>
          <w:sz w:val="22"/>
        </w:rPr>
        <w:t>The institution and maintenance of an action for judicial relief or pursuit of a provisional or ancillary remedy shall not constitute a waiver of the right of any party, including the plaintiff, to submit the controversy or claim to arbitration if any other party contests such action for judicial relief.  No provision of this section shall limit the right of any party to this Agreement to exercise self-help remedies such as setoff, to foreclose against or sell any real or personal collateral or security, or to obtain provisional or ancillary remedies from a court of competent jurisdiction before, after, or during the pendency of any arbitration or other proceeding.  The exercise of a remedy does not waive the right of either party to resort to arbitration.</w:t>
      </w:r>
    </w:p>
    <w:p>
      <w:pPr>
        <w:pStyle w:val="Normal"/>
        <w:tabs>
          <w:tab w:val="left" w:pos="0" w:leader="none"/>
          <w:tab w:val="left" w:pos="720" w:leader="none"/>
          <w:tab w:val="left" w:pos="135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350" w:end="0"/>
        <w:jc w:val="both"/>
        <w:rPr>
          <w:b/>
          <w:sz w:val="22"/>
        </w:rPr>
      </w:pPr>
      <w:r>
        <w:rPr>
          <w:b/>
          <w:sz w:val="22"/>
        </w:rPr>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FOOTNOTETEX"/>
          <w:rFonts w:ascii="Times New Roman" w:hAnsi="Times New Roman" w:cs="Times New Roman"/>
          <w:sz w:val="22"/>
        </w:rPr>
      </w:pPr>
      <w:r>
        <w:rPr>
          <w:rStyle w:val="FOOTNOTETEX"/>
          <w:rFonts w:cs="Times New Roman"/>
          <w:sz w:val="22"/>
        </w:rPr>
        <w:t xml:space="preserve">(i) </w:t>
        <w:tab/>
      </w:r>
      <w:r>
        <w:rPr>
          <w:rStyle w:val="FOOTNOTETEX"/>
          <w:rFonts w:cs="Times New Roman"/>
          <w:b/>
          <w:sz w:val="22"/>
        </w:rPr>
        <w:t>Existing Transactions</w:t>
      </w:r>
      <w:r>
        <w:rPr>
          <w:rStyle w:val="FOOTNOTETEX"/>
          <w:rFonts w:cs="Times New Roman"/>
          <w:sz w:val="22"/>
        </w:rPr>
        <w:t xml:space="preserve">. </w:t>
      </w:r>
      <w:r>
        <w:rPr>
          <w:sz w:val="22"/>
        </w:rPr>
        <w:t>Section 1(c) of the Agreement is amended by adding t</w:t>
      </w:r>
      <w:r>
        <w:rPr>
          <w:rStyle w:val="FOOTNOTETEX"/>
          <w:rFonts w:cs="Times New Roman"/>
          <w:sz w:val="22"/>
        </w:rPr>
        <w:t xml:space="preserve">he </w:t>
      </w:r>
      <w:r>
        <w:rPr>
          <w:sz w:val="22"/>
        </w:rPr>
        <w:t xml:space="preserve">phrase "(evidencing Transactions heretofore or hereafter entered into between Party A and Party B)" after the word "Confirmations". </w:t>
      </w:r>
    </w:p>
    <w:p>
      <w:pPr>
        <w:pStyle w:val="Normal"/>
        <w:spacing w:lineRule="exact" w:line="240" w:before="480" w:after="0"/>
        <w:jc w:val="both"/>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24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(1999), as amended.</w:t>
      </w:r>
    </w:p>
    <w:p>
      <w:pPr>
        <w:pStyle w:val="Norma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CG Times" w:hAnsi="CG Times" w:cs="CG Times"/>
          <w:sz w:val="24"/>
        </w:rPr>
      </w:pPr>
      <w:r>
        <w:rPr>
          <w:sz w:val="22"/>
        </w:rPr>
        <w:tab/>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  </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  Nothing in this section shall be construed to limit the application of any Credit Support Document.</w:t>
      </w:r>
    </w:p>
    <w:p>
      <w:pPr>
        <w:pStyle w:val="Normal"/>
        <w:spacing w:lineRule="exact" w:line="240"/>
        <w:jc w:val="both"/>
        <w:rPr>
          <w:b/>
          <w:sz w:val="22"/>
        </w:rPr>
      </w:pPr>
      <w:r>
        <w:rPr>
          <w:b/>
          <w:sz w:val="22"/>
        </w:rPr>
      </w:r>
    </w:p>
    <w:p>
      <w:pPr>
        <w:pStyle w:val="Normal"/>
        <w:numPr>
          <w:ilvl w:val="0"/>
          <w:numId w:val="8"/>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b/>
          <w:sz w:val="22"/>
        </w:rPr>
      </w:pPr>
      <w:r>
        <w:rPr>
          <w:b/>
          <w:sz w:val="22"/>
        </w:rPr>
        <w:t>GAAP</w:t>
      </w:r>
      <w:r>
        <w:rPr>
          <w:sz w:val="22"/>
        </w:rPr>
        <w:t>.  In Section 3(d) in the last printed line thereof after the word "respect" and before the period add the following: "or, in the case of audited or unaudited financial statements, fairly present the financial condition of the relevant party in accordance with U.S. generally accepted accounting principles consistently applied."</w:t>
      </w:r>
      <w:r>
        <w:rPr>
          <w:b/>
          <w:sz w:val="22"/>
        </w:rPr>
        <w:t xml:space="preserve"> </w:t>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numPr>
          <w:ilvl w:val="0"/>
          <w:numId w:val="8"/>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numPr>
          <w:ilvl w:val="0"/>
          <w:numId w:val="8"/>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rStyle w:val="FOOTNOTETEX"/>
          <w:rFonts w:ascii="Times New Roman" w:hAnsi="Times New Roman" w:cs="Times New Roman"/>
          <w:sz w:val="22"/>
        </w:rPr>
      </w:pPr>
      <w:r>
        <w:rPr>
          <w:b/>
          <w:sz w:val="22"/>
        </w:rPr>
        <w:t>Definitions; Inconsistency.</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w:t>
      </w:r>
      <w:r>
        <w:rPr>
          <w:rStyle w:val="FOOTNOTETEX"/>
          <w:sz w:val="24"/>
        </w:rPr>
        <w:t xml:space="preserve">  </w:t>
      </w:r>
      <w:r>
        <w:rPr>
          <w:rStyle w:val="FOOTNOTETEX"/>
          <w:rFonts w:cs="Times New Roman"/>
          <w:sz w:val="22"/>
        </w:rPr>
        <w:t>In the event of any inconsistency between any of the following documents, the relevant document first listed below shall govern: (i) a Confirmation for the purpose of the relevant Transaction; (ii) the Schedule; (iii) the 1991 Definitions and the Commodity Definitions</w:t>
      </w:r>
      <w:r>
        <w:rPr>
          <w:sz w:val="22"/>
        </w:rPr>
        <w:t>; provided, however, with respect to</w:t>
      </w:r>
      <w:r>
        <w:rPr>
          <w:rStyle w:val="FOOTNOTETEX"/>
          <w:rFonts w:cs="Times New Roman"/>
          <w:sz w:val="22"/>
        </w:rPr>
        <w:t xml:space="preserve"> a commodity swap, commodity option or other similar commodity Transaction </w:t>
      </w:r>
      <w:r>
        <w:rPr>
          <w:sz w:val="22"/>
        </w:rPr>
        <w:t>(each a "Commodity Transaction"), to the extent that there is any inconsistency between the 1991 Definitions and the Commodity Definitions (as defined below), the Commodity Definitions shall prevail</w:t>
      </w:r>
      <w:r>
        <w:rPr>
          <w:rStyle w:val="FOOTNOTETEX"/>
          <w:rFonts w:cs="Times New Roman"/>
          <w:sz w:val="22"/>
        </w:rPr>
        <w:t xml:space="preserve">; and (iv) the printed form of ISDA Master Agreement.  </w:t>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
    </w:p>
    <w:p>
      <w:pPr>
        <w:pStyle w:val="Normal"/>
        <w:numPr>
          <w:ilvl w:val="0"/>
          <w:numId w:val="8"/>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five (5) Local Business Days after it was received by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numPr>
          <w:ilvl w:val="0"/>
          <w:numId w:val="8"/>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Recording.</w:t>
      </w:r>
      <w:r>
        <w:rPr>
          <w:sz w:val="22"/>
        </w:rPr>
        <w:t xml:space="preserve"> Each party consents to the monitoring or recording at any time and from time to time by the other party of any and all communications between the trading and marketing personnel of the parties relating to this Agreement or any potential Transaction and waives any further notice of such monitoring or recording</w:t>
      </w:r>
      <w:r>
        <w:rPr>
          <w:rStyle w:val="FOOTNOTETEX"/>
          <w:sz w:val="22"/>
        </w:rPr>
        <w:t xml:space="preserve">.  </w:t>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numPr>
          <w:ilvl w:val="0"/>
          <w:numId w:val="8"/>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sz w:val="22"/>
        </w:rPr>
        <w:t>(i)</w:t>
        <w:tab/>
      </w:r>
      <w:r>
        <w:rPr>
          <w:b/>
          <w:sz w:val="22"/>
        </w:rPr>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(j)</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(k)</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w:t>
      </w:r>
      <w:r>
        <w:rPr>
          <w:sz w:val="22"/>
        </w:rPr>
        <w:t xml:space="preserve">(c)  Party A may transfer its rights and obligations under this Agreement, in whole but not in part, to any Affiliate so long as at the time of transfer (i) such Affiliate can make in writing each of the representations in Section 3, (ii) such Affiliate irrevocably agrees in writing to assume all obligations of Party A under or relating to this Agreement without condition or qualification, (iii) the obligations of such Affiliate are guaranteed by Enron Corp. pursuant to a guaranty substantially identical, </w:t>
      </w:r>
      <w:r>
        <w:rPr>
          <w:i/>
          <w:sz w:val="22"/>
        </w:rPr>
        <w:t>mutatis mutandi</w:t>
      </w:r>
      <w:r>
        <w:rPr>
          <w:sz w:val="22"/>
        </w:rPr>
        <w:t>, to the one provided on behalf of Party A, and (iv) such transfer will not give rise to a Termination Event or an Event of Default.”</w:t>
      </w:r>
    </w:p>
    <w:p>
      <w:pPr>
        <w:pStyle w:val="Normal"/>
        <w:spacing w:lineRule="exact" w:line="240" w:before="240" w:after="0"/>
        <w:ind w:firstLine="720" w:end="0"/>
        <w:jc w:val="both"/>
        <w:rPr/>
      </w:pPr>
      <w:r>
        <w:rPr>
          <w:sz w:val="22"/>
        </w:rPr>
        <w:t>(l)</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(m)</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(n)</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applicable law.</w:t>
      </w:r>
      <w:r>
        <w:br w:type="page"/>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tabs>
          <w:tab w:val="left" w:pos="720" w:leader="none"/>
          <w:tab w:val="left" w:pos="1440" w:leader="none"/>
        </w:tabs>
        <w:ind w:firstLine="720" w:end="0"/>
        <w:jc w:val="both"/>
        <w:rPr/>
      </w:pPr>
      <w:r>
        <w:rPr>
          <w:sz w:val="22"/>
        </w:rPr>
        <w:t>(a)</w:t>
        <w:tab/>
      </w:r>
      <w:r>
        <w:rPr>
          <w:b/>
          <w:sz w:val="22"/>
        </w:rPr>
        <w:t>Commodity Definitions</w:t>
      </w:r>
      <w:r>
        <w:rPr>
          <w:sz w:val="22"/>
        </w:rPr>
        <w:t xml:space="preserve">.  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 The Confirmation for each Commodity Transaction shall be substantially in (a) the form of either one of the exhibits to the Commodity Definitions or (b) such other form as the parties may agree upon.  </w:t>
      </w:r>
    </w:p>
    <w:p>
      <w:pPr>
        <w:pStyle w:val="Normal"/>
        <w:ind w:firstLine="720" w:end="0"/>
        <w:jc w:val="both"/>
        <w:rPr>
          <w:sz w:val="22"/>
        </w:rPr>
      </w:pPr>
      <w:r>
        <w:rPr>
          <w:sz w:val="22"/>
        </w:rPr>
      </w:r>
    </w:p>
    <w:p>
      <w:pPr>
        <w:pStyle w:val="Normal"/>
        <w:ind w:firstLine="720" w:end="0"/>
        <w:jc w:val="both"/>
        <w:rPr/>
      </w:pPr>
      <w:r>
        <w:rPr>
          <w:sz w:val="22"/>
        </w:rPr>
        <w:t>(b)</w:t>
        <w:tab/>
      </w:r>
      <w:r>
        <w:rPr>
          <w:b/>
          <w:sz w:val="22"/>
        </w:rPr>
        <w:t xml:space="preserve">Market Disruption Events. </w:t>
      </w:r>
      <w:r>
        <w:rPr>
          <w:sz w:val="22"/>
        </w:rPr>
        <w:t>In lieu of Section 7.4(d) of the Commodity Definitions, unless otherwise specified in the Confirmation for a Transaction, the following Market Disruption Events shall be applicable: (a) Price Source Disruption; (b) Trading Suspension; (c) Disappearance of Commodity Reference Price; (d) Material Change in Formula; (e) Material Change in Content; and (f) Trading Limitation.</w:t>
      </w:r>
    </w:p>
    <w:p>
      <w:pPr>
        <w:pStyle w:val="Normal"/>
        <w:ind w:firstLine="720" w:end="0"/>
        <w:jc w:val="both"/>
        <w:rPr>
          <w:sz w:val="22"/>
        </w:rPr>
      </w:pPr>
      <w:r>
        <w:rPr>
          <w:sz w:val="22"/>
        </w:rPr>
      </w:r>
    </w:p>
    <w:p>
      <w:pPr>
        <w:pStyle w:val="Normal"/>
        <w:ind w:firstLine="720" w:end="0"/>
        <w:jc w:val="both"/>
        <w:rPr/>
      </w:pPr>
      <w:r>
        <w:rPr>
          <w:sz w:val="22"/>
        </w:rPr>
        <w:t>(c)</w:t>
        <w:tab/>
      </w:r>
      <w:r>
        <w:rPr>
          <w:b/>
          <w:sz w:val="22"/>
        </w:rPr>
        <w:t>Material Limitation.</w:t>
      </w:r>
      <w:r>
        <w:rPr>
          <w:sz w:val="22"/>
        </w:rPr>
        <w:t xml:space="preserve"> 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pPr>
      <w:r>
        <w:rPr/>
        <w:t>(f)</w:t>
      </w:r>
      <w:r>
        <w:rPr>
          <w:rFonts w:cs="Times New Roman" w:ascii="Times New Roman" w:hAnsi="Times New Roman"/>
        </w:rPr>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numPr>
          <w:ilvl w:val="0"/>
          <w:numId w:val="3"/>
        </w:numPr>
        <w:tabs>
          <w:tab w:val="clear" w:pos="720"/>
          <w:tab w:val="left" w:pos="1800" w:leader="none"/>
        </w:tabs>
        <w:ind w:hanging="360" w:start="1800" w:end="720"/>
        <w:jc w:val="both"/>
        <w:rPr>
          <w:sz w:val="22"/>
        </w:rPr>
      </w:pPr>
      <w:r>
        <w:rPr>
          <w:sz w:val="22"/>
        </w:rPr>
        <w:t>“</w:t>
      </w:r>
      <w:r>
        <w:rPr>
          <w:sz w:val="22"/>
        </w:rPr>
        <w:t>Postponement”, with three (3) Commodity Business Days as the Maximum Days of Disruption;</w:t>
      </w:r>
    </w:p>
    <w:p>
      <w:pPr>
        <w:pStyle w:val="Normal"/>
        <w:tabs>
          <w:tab w:val="clear" w:pos="720"/>
          <w:tab w:val="left" w:pos="1800" w:leader="none"/>
        </w:tabs>
        <w:ind w:hanging="360" w:start="1800" w:end="720"/>
        <w:jc w:val="both"/>
        <w:rPr>
          <w:sz w:val="22"/>
        </w:rPr>
      </w:pPr>
      <w:r>
        <w:rPr>
          <w:sz w:val="22"/>
        </w:rPr>
      </w:r>
    </w:p>
    <w:p>
      <w:pPr>
        <w:pStyle w:val="Normal"/>
        <w:numPr>
          <w:ilvl w:val="0"/>
          <w:numId w:val="3"/>
        </w:numPr>
        <w:tabs>
          <w:tab w:val="clear" w:pos="720"/>
          <w:tab w:val="left" w:pos="1800" w:leader="none"/>
        </w:tabs>
        <w:ind w:hanging="360" w:start="1800" w:end="720"/>
        <w:jc w:val="both"/>
        <w:rPr>
          <w:sz w:val="22"/>
        </w:rPr>
      </w:pPr>
      <w:r>
        <w:rPr>
          <w:sz w:val="22"/>
        </w:rPr>
        <w:t>“</w:t>
      </w:r>
      <w:r>
        <w:rPr>
          <w:sz w:val="22"/>
        </w:rPr>
        <w:t>Fallback Reference Price” (if the relevant parties have specified an alternate Commodity Reference Price in the Confirmation);</w:t>
      </w:r>
    </w:p>
    <w:p>
      <w:pPr>
        <w:pStyle w:val="Normal"/>
        <w:tabs>
          <w:tab w:val="clear" w:pos="720"/>
          <w:tab w:val="left" w:pos="1800" w:leader="none"/>
        </w:tabs>
        <w:ind w:hanging="360" w:start="1800" w:end="720"/>
        <w:jc w:val="both"/>
        <w:rPr>
          <w:sz w:val="22"/>
        </w:rPr>
      </w:pPr>
      <w:r>
        <w:rPr>
          <w:sz w:val="22"/>
        </w:rPr>
      </w:r>
    </w:p>
    <w:p>
      <w:pPr>
        <w:pStyle w:val="Normal"/>
        <w:numPr>
          <w:ilvl w:val="0"/>
          <w:numId w:val="3"/>
        </w:numPr>
        <w:tabs>
          <w:tab w:val="clear" w:pos="720"/>
          <w:tab w:val="left" w:pos="1800" w:leader="none"/>
        </w:tabs>
        <w:ind w:hanging="360" w:start="1800" w:end="720"/>
        <w:jc w:val="both"/>
        <w:rPr>
          <w:sz w:val="22"/>
        </w:rPr>
      </w:pPr>
      <w:r>
        <w:rPr>
          <w:sz w:val="22"/>
        </w:rPr>
        <w:t xml:space="preserve"> “</w:t>
      </w:r>
      <w:r>
        <w:rPr>
          <w:sz w:val="22"/>
        </w:rPr>
        <w:t>Negotiated Fallback” (provided that the reference in Section 7.5(c)(ii) to “fifth Business Day” shall be amended to be “twelfth Business Day”); and</w:t>
      </w:r>
    </w:p>
    <w:p>
      <w:pPr>
        <w:pStyle w:val="Normal"/>
        <w:tabs>
          <w:tab w:val="clear" w:pos="720"/>
          <w:tab w:val="left" w:pos="1800" w:leader="none"/>
        </w:tabs>
        <w:ind w:hanging="360" w:start="1800" w:end="720"/>
        <w:jc w:val="both"/>
        <w:rPr>
          <w:sz w:val="22"/>
        </w:rPr>
      </w:pPr>
      <w:r>
        <w:rPr>
          <w:sz w:val="22"/>
        </w:rPr>
      </w:r>
    </w:p>
    <w:p>
      <w:pPr>
        <w:pStyle w:val="Normal"/>
        <w:numPr>
          <w:ilvl w:val="0"/>
          <w:numId w:val="3"/>
        </w:numPr>
        <w:tabs>
          <w:tab w:val="clear" w:pos="720"/>
          <w:tab w:val="left" w:pos="1800" w:leader="none"/>
        </w:tabs>
        <w:ind w:hanging="360" w:start="1800" w:end="720"/>
        <w:jc w:val="both"/>
        <w:rPr/>
      </w:pPr>
      <w:r>
        <w:rPr>
          <w:sz w:val="22"/>
        </w:rPr>
        <w:t>“</w:t>
      </w:r>
      <w:r>
        <w:rPr>
          <w:sz w:val="22"/>
        </w:rPr>
        <w:t xml:space="preserve">No Fault Termination”. </w:t>
      </w:r>
    </w:p>
    <w:p>
      <w:pPr>
        <w:pStyle w:val="Header"/>
        <w:widowControl/>
        <w:rPr/>
      </w:pPr>
      <w:r>
        <w:rPr/>
      </w:r>
    </w:p>
    <w:p>
      <w:pPr>
        <w:pStyle w:val="Normal"/>
        <w:ind w:firstLine="72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rPr>
      </w:pPr>
      <w:r>
        <w:rPr>
          <w:sz w:val="22"/>
        </w:rPr>
      </w:r>
    </w:p>
    <w:p>
      <w:pPr>
        <w:pStyle w:val="Normal"/>
        <w:ind w:firstLine="720" w:end="0"/>
        <w:jc w:val="both"/>
        <w:rPr>
          <w:sz w:val="22"/>
        </w:rPr>
      </w:pPr>
      <w:r>
        <w:rPr>
          <w:sz w:val="22"/>
        </w:rPr>
        <w:t>(h)</w:t>
        <w:tab/>
      </w:r>
      <w:r>
        <w:rPr>
          <w:color w:val="000000"/>
          <w:sz w:val="22"/>
        </w:rPr>
        <w:t>For purposes of any Transaction in which the relevant Confirmation expressly states that the market for the relevant Commodity is newer or less liquid than the other over-the-counter derivative markets, Party B recognizes that (i) it may be more difficult for it to obtain quotations from a market-maker or other dealer that is not a party to the Transaction and consequently to establish an independent value for the Transaction; (ii) any prices or terms quoted by Party A for entering into, modifying, or terminating a Transaction, although based upon what Party A believes to be a commercially reasonable valuation methodology, may be different than if this market were more mature and liquid; and (iii)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rPr>
      </w:pPr>
      <w:r>
        <w:rPr>
          <w:rFonts w:cs="Times New Roman" w:ascii="Times New Roman" w:hAnsi="Times New Roman"/>
          <w:sz w:val="22"/>
        </w:rPr>
      </w:r>
    </w:p>
    <w:p>
      <w:pPr>
        <w:pStyle w:val="Justified"/>
        <w:widowControl/>
        <w:spacing w:before="0" w:after="0"/>
        <w:rPr>
          <w:rFonts w:ascii="Times New Roman" w:hAnsi="Times New Roman" w:cs="Times New Roman"/>
        </w:rPr>
      </w:pPr>
      <w:r>
        <w:rPr>
          <w:rFonts w:cs="Times New Roman" w:ascii="Times New Roman" w:hAnsi="Times New Roman"/>
        </w:rPr>
        <w:t>IN WITNESS WHEREOF THIS SCHEDULE has been executed effective as of the date first written above by the undersigned duly authorized representatives of the respective parties.</w:t>
      </w:r>
    </w:p>
    <w:p>
      <w:pPr>
        <w:pStyle w:val="Normal"/>
        <w:jc w:val="both"/>
        <w:rPr>
          <w:rFonts w:ascii="Times New Roman" w:hAnsi="Times New Roman" w:cs="Times New Roman"/>
          <w:sz w:val="22"/>
        </w:rPr>
      </w:pPr>
      <w:r>
        <w:rPr>
          <w:rFonts w:cs="Times New Roman"/>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NORTH AMERICA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ind w:firstLine="720" w:end="0"/>
              <w:jc w:val="both"/>
              <w:rPr>
                <w:sz w:val="22"/>
              </w:rPr>
            </w:pPr>
            <w:r>
              <w:rPr>
                <w:sz w:val="22"/>
                <w:u w:val="single"/>
              </w:rPr>
              <w:tab/>
              <w:tab/>
              <w:tab/>
              <w:tab/>
              <w:tab/>
            </w:r>
          </w:p>
        </w:tc>
        <w:tc>
          <w:tcPr>
            <w:tcW w:w="4788" w:type="dxa"/>
            <w:tcBorders/>
          </w:tcPr>
          <w:p>
            <w:pPr>
              <w:pStyle w:val="Normal"/>
              <w:keepNext w:val="true"/>
              <w:spacing w:lineRule="exact" w:line="240"/>
              <w:jc w:val="both"/>
              <w:rPr>
                <w:color w:val="000000"/>
                <w:sz w:val="22"/>
              </w:rPr>
            </w:pPr>
            <w:r>
              <w:rPr>
                <w:b/>
                <w:color w:val="000000"/>
                <w:sz w:val="22"/>
              </w:rPr>
              <w:t>FLORIDA POWER &amp; LIGHT COMPANY</w:t>
            </w:r>
          </w:p>
          <w:p>
            <w:pPr>
              <w:pStyle w:val="Justified"/>
              <w:keepNext w:val="true"/>
              <w:widowControl/>
              <w:spacing w:lineRule="exact" w:line="240" w:before="0" w:after="0"/>
              <w:rPr>
                <w:rFonts w:ascii="Times New Roman" w:hAnsi="Times New Roman" w:cs="Times New Roman"/>
                <w:color w:val="000000"/>
                <w:sz w:val="22"/>
              </w:rPr>
            </w:pPr>
            <w:r>
              <w:rPr>
                <w:rFonts w:cs="Times New Roman" w:ascii="Times New Roman" w:hAnsi="Times New Roman"/>
                <w:color w:val="000000"/>
                <w:sz w:val="22"/>
              </w:rPr>
            </w:r>
          </w:p>
          <w:p>
            <w:pPr>
              <w:pStyle w:val="Normal"/>
              <w:keepNext w:val="true"/>
              <w:spacing w:lineRule="exact" w:line="240"/>
              <w:jc w:val="both"/>
              <w:rPr>
                <w:rFonts w:ascii="Times New Roman" w:hAnsi="Times New Roman" w:cs="Times New Roman"/>
                <w:sz w:val="22"/>
              </w:rPr>
            </w:pPr>
            <w:r>
              <w:rPr>
                <w:rFonts w:cs="Times New Roman"/>
                <w:sz w:val="22"/>
              </w:rPr>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ind w:firstLine="702" w:end="0"/>
              <w:jc w:val="both"/>
              <w:rPr>
                <w:sz w:val="22"/>
              </w:rPr>
            </w:pPr>
            <w:r>
              <w:rPr>
                <w:sz w:val="22"/>
                <w:u w:val="single"/>
              </w:rPr>
              <w:tab/>
              <w:tab/>
              <w:tab/>
              <w:tab/>
              <w:tab/>
              <w:t xml:space="preserve">______ </w:t>
            </w:r>
          </w:p>
        </w:tc>
      </w:tr>
      <w:tr>
        <w:trPr/>
        <w:tc>
          <w:tcPr>
            <w:tcW w:w="4788" w:type="dxa"/>
            <w:tcBorders/>
          </w:tcPr>
          <w:p>
            <w:pPr>
              <w:pStyle w:val="Normal"/>
              <w:keepNext w:val="true"/>
              <w:snapToGrid w:val="false"/>
              <w:spacing w:lineRule="exact" w:line="240"/>
              <w:jc w:val="both"/>
              <w:rPr>
                <w:b/>
                <w:color w:val="000000"/>
                <w:sz w:val="22"/>
              </w:rPr>
            </w:pPr>
            <w:r>
              <w:rPr>
                <w:b/>
                <w:color w:val="000000"/>
                <w:sz w:val="22"/>
              </w:rPr>
            </w:r>
          </w:p>
        </w:tc>
        <w:tc>
          <w:tcPr>
            <w:tcW w:w="4788" w:type="dxa"/>
            <w:tcBorders/>
          </w:tcPr>
          <w:p>
            <w:pPr>
              <w:pStyle w:val="Normal"/>
              <w:keepNext w:val="true"/>
              <w:snapToGrid w:val="false"/>
              <w:spacing w:lineRule="exact" w:line="240"/>
              <w:jc w:val="both"/>
              <w:rPr>
                <w:b/>
                <w:color w:val="000000"/>
                <w:sz w:val="22"/>
              </w:rPr>
            </w:pPr>
            <w:r>
              <w:rPr>
                <w:b/>
                <w:color w:val="000000"/>
                <w:sz w:val="22"/>
              </w:rPr>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340" w:leader="dot"/>
        </w:tabs>
        <w:spacing w:lineRule="exact" w:line="240"/>
        <w:ind w:hanging="3060" w:start="3060" w:end="0"/>
        <w:jc w:val="both"/>
        <w:rPr/>
      </w:pPr>
      <w:r>
        <w:rPr/>
        <w:t>ANNEX A</w:t>
        <w:tab/>
        <w:t>ISDA CREDIT SUPPORT ANNEX, including Paragraph 13 thereto</w:t>
      </w:r>
    </w:p>
    <w:p>
      <w:pPr>
        <w:pStyle w:val="Normal"/>
        <w:tabs>
          <w:tab w:val="clear" w:pos="720"/>
          <w:tab w:val="left" w:pos="2340" w:leader="dot"/>
        </w:tabs>
        <w:spacing w:lineRule="exact" w:line="240"/>
        <w:ind w:hanging="3060" w:start="3060" w:end="0"/>
        <w:jc w:val="both"/>
        <w:rPr/>
      </w:pPr>
      <w:r>
        <w:rPr/>
        <w:t>SCHEDULE 1</w:t>
        <w:tab/>
        <w:t>FORM OF IRREVOCABLE TRANSFERABLE STANDBY LETTER OF CREDIT</w:t>
      </w:r>
    </w:p>
    <w:p>
      <w:pPr>
        <w:sectPr>
          <w:headerReference w:type="default" r:id="rId2"/>
          <w:footerReference w:type="default" r:id="rId3"/>
          <w:type w:val="nextPage"/>
          <w:pgSz w:w="12240" w:h="15840"/>
          <w:pgMar w:left="1440" w:right="1440" w:gutter="0" w:header="720" w:top="1440" w:footer="835" w:bottom="1440"/>
          <w:pgNumType w:start="1" w:fmt="decimal"/>
          <w:formProt w:val="false"/>
          <w:textDirection w:val="lrTb"/>
          <w:docGrid w:type="default" w:linePitch="360" w:charSpace="0"/>
        </w:sectPr>
        <w:pStyle w:val="Normal"/>
        <w:tabs>
          <w:tab w:val="clear" w:pos="720"/>
          <w:tab w:val="left" w:pos="2340" w:leader="dot"/>
        </w:tabs>
        <w:spacing w:lineRule="exact" w:line="240"/>
        <w:ind w:hanging="3060" w:start="3060" w:end="0"/>
        <w:jc w:val="both"/>
        <w:rPr/>
      </w:pPr>
      <w:r>
        <w:rPr/>
        <w:t>EXHIBIT A</w:t>
        <w:tab/>
        <w:t>FORM OF GUARANTY (PARTY A)</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July [__], 2000</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color w:val="000000"/>
                <w:sz w:val="22"/>
              </w:rPr>
            </w:pPr>
            <w:r>
              <w:rPr>
                <w:b/>
                <w:color w:val="000000"/>
                <w:sz w:val="22"/>
              </w:rPr>
              <w:t>FLORIDA POWER &amp; LIGHT COMPANY, a corporation organized under the law of the State of Florida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1440" w:end="0"/>
        <w:jc w:val="both"/>
        <w:rPr/>
      </w:pPr>
      <w:r>
        <w:rPr>
          <w:sz w:val="22"/>
        </w:rPr>
        <w:t xml:space="preserve">(A) </w:t>
      </w:r>
      <w:r>
        <w:rPr>
          <w:b/>
          <w:sz w:val="22"/>
        </w:rPr>
        <w:t>“Delivery Amount”</w:t>
      </w:r>
      <w:r>
        <w:rPr>
          <w:sz w:val="22"/>
        </w:rPr>
        <w:t xml:space="preserve"> has the meaning specified in Paragraph 3(a).</w:t>
      </w:r>
    </w:p>
    <w:p>
      <w:pPr>
        <w:pStyle w:val="Normal"/>
        <w:ind w:start="1440" w:end="0"/>
        <w:jc w:val="both"/>
        <w:rPr>
          <w:sz w:val="22"/>
        </w:rPr>
      </w:pPr>
      <w:r>
        <w:rPr>
          <w:sz w:val="22"/>
        </w:rPr>
      </w:r>
    </w:p>
    <w:p>
      <w:pPr>
        <w:pStyle w:val="Normal"/>
        <w:tabs>
          <w:tab w:val="clear" w:pos="720"/>
          <w:tab w:val="left" w:pos="1080" w:leader="none"/>
        </w:tabs>
        <w:ind w:start="1440" w:end="0"/>
        <w:jc w:val="both"/>
        <w:rPr/>
      </w:pPr>
      <w:r>
        <w:rPr>
          <w:sz w:val="22"/>
        </w:rPr>
        <w:t xml:space="preserve">(B) </w:t>
      </w:r>
      <w:r>
        <w:rPr>
          <w:b/>
          <w:sz w:val="22"/>
        </w:rPr>
        <w:t>“Return Amount”</w:t>
      </w:r>
      <w:r>
        <w:rPr>
          <w:sz w:val="22"/>
        </w:rPr>
        <w:t xml:space="preserve"> has the meaning specified in Paragraph 3(b).</w:t>
      </w:r>
    </w:p>
    <w:p>
      <w:pPr>
        <w:pStyle w:val="Normal"/>
        <w:ind w:start="1440" w:end="0"/>
        <w:jc w:val="both"/>
        <w:rPr>
          <w:sz w:val="22"/>
        </w:rPr>
      </w:pPr>
      <w:r>
        <w:rPr>
          <w:sz w:val="22"/>
        </w:rPr>
      </w:r>
    </w:p>
    <w:p>
      <w:pPr>
        <w:pStyle w:val="Normal"/>
        <w:tabs>
          <w:tab w:val="clear" w:pos="720"/>
          <w:tab w:val="left" w:pos="1080" w:leader="none"/>
        </w:tabs>
        <w:ind w:start="144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snapToGrid w:val="false"/>
              <w:jc w:val="both"/>
              <w:rPr>
                <w:sz w:val="22"/>
              </w:rPr>
            </w:pPr>
            <w:r>
              <w:rPr>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ten (10)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144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1440" w:end="0"/>
        <w:jc w:val="both"/>
        <w:rPr>
          <w:sz w:val="22"/>
        </w:rPr>
      </w:pPr>
      <w:r>
        <w:rPr>
          <w:sz w:val="22"/>
        </w:rPr>
      </w:r>
    </w:p>
    <w:p>
      <w:pPr>
        <w:pStyle w:val="Normal"/>
        <w:ind w:start="1440" w:end="0"/>
        <w:jc w:val="both"/>
        <w:rPr/>
      </w:pPr>
      <w:r>
        <w:rPr>
          <w:color w:val="000000"/>
          <w:sz w:val="22"/>
        </w:rPr>
        <w:t xml:space="preserve">(B)  </w:t>
      </w:r>
      <w:r>
        <w:rPr>
          <w:b/>
          <w:color w:val="000000"/>
          <w:sz w:val="22"/>
        </w:rPr>
        <w:t>“Threshold”</w:t>
      </w:r>
      <w:r>
        <w:rPr>
          <w:color w:val="000000"/>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with respect to such party.</w:t>
      </w:r>
    </w:p>
    <w:p>
      <w:pPr>
        <w:pStyle w:val="Normal"/>
        <w:ind w:start="1440" w:end="0"/>
        <w:jc w:val="both"/>
        <w:rPr>
          <w:color w:val="000000"/>
          <w:sz w:val="22"/>
        </w:rPr>
      </w:pPr>
      <w:r>
        <w:rPr>
          <w:color w:val="000000"/>
          <w:sz w:val="22"/>
        </w:rPr>
      </w:r>
    </w:p>
    <w:p>
      <w:pPr>
        <w:pStyle w:val="Normal"/>
        <w:tabs>
          <w:tab w:val="clear" w:pos="720"/>
          <w:tab w:val="left" w:pos="1800" w:leader="none"/>
        </w:tabs>
        <w:ind w:start="1440" w:end="0"/>
        <w:jc w:val="both"/>
        <w:rPr/>
      </w:pPr>
      <w:r>
        <w:rPr>
          <w:sz w:val="22"/>
        </w:rPr>
        <w:t>(C)</w:t>
        <w:tab/>
      </w:r>
      <w:r>
        <w:rPr>
          <w:b/>
          <w:sz w:val="22"/>
        </w:rPr>
        <w:t>“Minimum Transfer Amount”</w:t>
      </w:r>
      <w:r>
        <w:rPr>
          <w:sz w:val="22"/>
        </w:rPr>
        <w:t xml:space="preserve"> means with respect to Party A:  U.S. $</w:t>
      </w:r>
      <w:r>
        <w:rPr>
          <w:color w:val="000000"/>
          <w:sz w:val="22"/>
        </w:rPr>
        <w:t>50,000</w:t>
      </w:r>
      <w:r>
        <w:rPr>
          <w:sz w:val="22"/>
        </w:rPr>
        <w:t>.</w:t>
      </w:r>
    </w:p>
    <w:p>
      <w:pPr>
        <w:pStyle w:val="Normal"/>
        <w:ind w:start="1440" w:end="0"/>
        <w:jc w:val="both"/>
        <w:rPr>
          <w:sz w:val="22"/>
        </w:rPr>
      </w:pPr>
      <w:r>
        <w:rPr>
          <w:sz w:val="22"/>
        </w:rPr>
      </w:r>
    </w:p>
    <w:p>
      <w:pPr>
        <w:pStyle w:val="Normal"/>
        <w:ind w:firstLine="360" w:start="1440" w:end="0"/>
        <w:jc w:val="both"/>
        <w:rPr/>
      </w:pPr>
      <w:r>
        <w:rPr>
          <w:b/>
          <w:sz w:val="22"/>
        </w:rPr>
        <w:t>“</w:t>
      </w:r>
      <w:r>
        <w:rPr>
          <w:b/>
          <w:sz w:val="22"/>
        </w:rPr>
        <w:t>Minimum Transfer Amount”</w:t>
      </w:r>
      <w:r>
        <w:rPr>
          <w:sz w:val="22"/>
        </w:rPr>
        <w:t xml:space="preserve"> means with respect to Party B:  U.S. $</w:t>
      </w:r>
      <w:r>
        <w:rPr>
          <w:color w:val="000000"/>
          <w:sz w:val="22"/>
        </w:rPr>
        <w:t>50,000</w:t>
      </w:r>
      <w:r>
        <w:rPr>
          <w:sz w:val="22"/>
        </w:rPr>
        <w:t>.</w:t>
      </w:r>
    </w:p>
    <w:p>
      <w:pPr>
        <w:pStyle w:val="Normal"/>
        <w:ind w:start="1440" w:end="0"/>
        <w:jc w:val="both"/>
        <w:rPr>
          <w:sz w:val="22"/>
        </w:rPr>
      </w:pPr>
      <w:r>
        <w:rPr>
          <w:sz w:val="22"/>
        </w:rPr>
      </w:r>
    </w:p>
    <w:p>
      <w:pPr>
        <w:pStyle w:val="Normal"/>
        <w:ind w:start="144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Normal"/>
        <w:ind w:start="1080" w:end="0"/>
        <w:jc w:val="both"/>
        <w:rPr>
          <w:sz w:val="22"/>
        </w:rPr>
      </w:pPr>
      <w:r>
        <w:rPr>
          <w:sz w:val="22"/>
        </w:rPr>
      </w:r>
    </w:p>
    <w:p>
      <w:pPr>
        <w:pStyle w:val="BodyTextIndent"/>
        <w:rPr/>
      </w:pPr>
      <w:r>
        <w:rPr/>
        <w:t>(2)  Posted Collateral may be held only in the following jurisdictions:  Any jurisdiction within the United States.</w:t>
      </w:r>
    </w:p>
    <w:p>
      <w:pPr>
        <w:pStyle w:val="Normal"/>
        <w:ind w:hanging="720" w:start="2160" w:end="0"/>
        <w:jc w:val="both"/>
        <w:rPr>
          <w:sz w:val="22"/>
        </w:rPr>
      </w:pPr>
      <w:r>
        <w:rPr>
          <w:sz w:val="22"/>
        </w:rPr>
      </w:r>
    </w:p>
    <w:p>
      <w:pPr>
        <w:pStyle w:val="Norma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(1)  Party B is not a Defaulting Party and it has a Credit Rating</w:t>
      </w:r>
      <w:r>
        <w:rPr>
          <w:color w:val="000000"/>
          <w:sz w:val="22"/>
        </w:rPr>
        <w:t xml:space="preserve"> from S&amp;P</w:t>
      </w:r>
      <w:r>
        <w:rPr>
          <w:sz w:val="22"/>
        </w:rPr>
        <w:t xml:space="preserve"> and the lowest Credit Rating for it is “</w:t>
      </w:r>
      <w:r>
        <w:rPr>
          <w:color w:val="000000"/>
          <w:sz w:val="22"/>
        </w:rPr>
        <w:t>BBB-</w:t>
      </w:r>
      <w:r>
        <w:rPr>
          <w:sz w:val="22"/>
        </w:rPr>
        <w:t>” or higher by S&amp;P.</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Normal"/>
        <w:ind w:start="720" w:end="0"/>
        <w:jc w:val="both"/>
        <w:rPr>
          <w:sz w:val="22"/>
        </w:rPr>
      </w:pPr>
      <w:r>
        <w:rPr>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the Federal Funds Overnight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900" w:end="0"/>
        <w:jc w:val="both"/>
        <w:rPr/>
      </w:pPr>
      <w:r>
        <w:rPr>
          <w:sz w:val="22"/>
        </w:rPr>
        <w:t>(A)  If the provisions of Paragraph 6(c) do not apply to a party as a result of a Credit Rating Event described in Paragraph 13(g)(ii</w:t>
      </w:r>
      <w:r>
        <w:rPr>
          <w:color w:val="000000"/>
          <w:sz w:val="22"/>
        </w:rPr>
        <w:t>)</w:t>
      </w:r>
      <w:r>
        <w:rPr>
          <w:rStyle w:val="FootnoteCharacters"/>
          <w:color w:val="000000"/>
          <w:sz w:val="22"/>
        </w:rPr>
        <w:t xml:space="preserve"> </w:t>
      </w:r>
      <w:r>
        <w:rPr>
          <w:color w:val="000000"/>
          <w:sz w:val="22"/>
        </w:rPr>
        <w:t xml:space="preserve">, </w:t>
      </w:r>
      <w:r>
        <w:rPr>
          <w:sz w:val="22"/>
        </w:rPr>
        <w:t>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rPr>
      </w:pPr>
      <w:r>
        <w:rPr>
          <w:sz w:val="22"/>
        </w:rPr>
      </w:r>
    </w:p>
    <w:p>
      <w:pPr>
        <w:pStyle w:val="Norma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rPr>
      </w:pPr>
      <w:r>
        <w:rPr>
          <w:sz w:val="22"/>
        </w:rPr>
      </w:r>
    </w:p>
    <w:p>
      <w:pPr>
        <w:pStyle w:val="Norma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sz w:val="22"/>
        </w:rPr>
      </w:pPr>
      <w:r>
        <w:rPr>
          <w:sz w:val="22"/>
        </w:rPr>
      </w:r>
    </w:p>
    <w:p>
      <w:pPr>
        <w:pStyle w:val="Norma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tabs>
          <w:tab w:val="clear" w:pos="720"/>
          <w:tab w:val="left" w:pos="0" w:leader="none"/>
        </w:tabs>
        <w:ind w:start="720" w:end="0"/>
        <w:rPr/>
      </w:pPr>
      <w:r>
        <w:rPr>
          <w:b/>
          <w:sz w:val="22"/>
        </w:rPr>
        <w:t>“</w:t>
      </w:r>
      <w:r>
        <w:rPr>
          <w:b/>
          <w:sz w:val="22"/>
        </w:rPr>
        <w:t>Composite 3:30 P.M. Quotations for U.S. Government Securities”</w:t>
      </w:r>
      <w:r>
        <w:rPr>
          <w:sz w:val="22"/>
        </w:rPr>
        <w:t xml:space="preserve"> means the daily statistical release designated as such, or any successor publication, published by the Federal Reserve Bank of New York.</w:t>
      </w:r>
    </w:p>
    <w:p>
      <w:pPr>
        <w:pStyle w:val="Normal"/>
        <w:ind w:start="720" w:end="0"/>
        <w:jc w:val="both"/>
        <w:rPr>
          <w:b/>
          <w:sz w:val="22"/>
        </w:rPr>
      </w:pPr>
      <w:r>
        <w:rPr>
          <w:b/>
          <w:sz w:val="22"/>
        </w:rPr>
      </w:r>
    </w:p>
    <w:p>
      <w:pPr>
        <w:pStyle w:val="Normal"/>
        <w:keepNext w:val="true"/>
        <w:keepLines/>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any credit enhancement specific to such obligations) by S&amp;P, Moody’s or such other rating agency or agencies as are specified.  </w:t>
      </w:r>
    </w:p>
    <w:p>
      <w:pPr>
        <w:pStyle w:val="Normal"/>
        <w:ind w:start="720" w:end="0"/>
        <w:jc w:val="both"/>
        <w:rPr>
          <w:sz w:val="22"/>
        </w:rPr>
      </w:pPr>
      <w:r>
        <w:rPr>
          <w:sz w:val="22"/>
        </w:rPr>
      </w:r>
    </w:p>
    <w:p>
      <w:pPr>
        <w:pStyle w:val="Normal"/>
        <w:ind w:start="720" w:end="0"/>
        <w:jc w:val="both"/>
        <w:rPr/>
      </w:pPr>
      <w:r>
        <w:rPr>
          <w:b/>
          <w:sz w:val="22"/>
        </w:rPr>
        <w:t>“</w:t>
      </w:r>
      <w:r>
        <w:rPr>
          <w:b/>
          <w:sz w:val="22"/>
        </w:rPr>
        <w:t>Federal Funds Overnight Rate”</w:t>
      </w:r>
      <w:r>
        <w:rPr>
          <w:sz w:val="22"/>
        </w:rPr>
        <w:t xml:space="preserve"> means, for the relevant determination date, the rate opposite the caption “Federal Funds (Effective)” as set forth </w:t>
      </w:r>
      <w:r>
        <w:rPr/>
        <w:t>for that day</w:t>
      </w:r>
      <w:r>
        <w:rPr>
          <w:sz w:val="22"/>
        </w:rPr>
        <w:t xml:space="preserve"> in the weekly statistical release designated as H.15 (519), or any successor publication, published by the Board of Governors of the Federal Reserve System. If on the determination date such rate is not yet published in H.15(519), the rate for that date will be the rate set forth in Composite 3:30 P.M. Quotations for U.S. Government Securities for that day under the caption “Federal Funds/Effective Rate”.  If on the determination date such rate is not yet published in either H.15(519) or Composite 3:30 P.M. Quotations for U.S. Government Securities, the rate for that date will be determined as if the parties had specified “USD-Federal Funds-Reference Dealers” as the applicable rate.</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commercial bank or trust company organized under the laws of the U.S. or a state or territory thereof, or a foreign bank with a U.S. branch office, in each case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reasonably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start="720" w:end="0"/>
        <w:jc w:val="both"/>
        <w:rPr>
          <w:b/>
          <w:sz w:val="22"/>
        </w:rPr>
      </w:pPr>
      <w:r>
        <w:rPr>
          <w:b/>
          <w:sz w:val="22"/>
        </w:rPr>
      </w:r>
    </w:p>
    <w:p>
      <w:pPr>
        <w:pStyle w:val="Normal"/>
        <w:ind w:start="720" w:end="0"/>
        <w:jc w:val="both"/>
        <w:rPr/>
      </w:pPr>
      <w:r>
        <w:rPr>
          <w:b/>
          <w:sz w:val="22"/>
        </w:rPr>
        <w:t>“</w:t>
      </w:r>
      <w:r>
        <w:rPr>
          <w:b/>
          <w:sz w:val="22"/>
        </w:rPr>
        <w:t>USD-Federal Funds-Reference Dealers”</w:t>
      </w:r>
      <w:r>
        <w:rPr>
          <w:sz w:val="22"/>
        </w:rPr>
        <w:t xml:space="preserve"> means that the rate for the relevant determination date will be the arithmetic mean of the rates for the last transaction in overnight U.S. Dollar Federal funds arranged by each Reference Dealer prior to 9:00 a.m., New York City time, on that day.</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sectPr>
          <w:headerReference w:type="default" r:id="rId4"/>
          <w:headerReference w:type="firs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ind w:hanging="720"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of the events of the type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jc w:val="both"/>
        <w:rPr>
          <w:sz w:val="22"/>
        </w:rPr>
      </w:pPr>
      <w:r>
        <w:rPr>
          <w:sz w:val="22"/>
        </w:rPr>
      </w:r>
    </w:p>
    <w:p>
      <w:pPr>
        <w:pStyle w:val="Normal"/>
        <w:tabs>
          <w:tab w:val="left" w:pos="720" w:leader="none"/>
        </w:tabs>
        <w:ind w:hanging="720" w:start="720" w:end="0"/>
        <w:jc w:val="both"/>
        <w:rPr>
          <w:sz w:val="22"/>
        </w:rPr>
      </w:pPr>
      <w:r>
        <w:rPr>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sz w:val="22"/>
        </w:rPr>
      </w:pPr>
      <w:r>
        <w:rPr>
          <w:sz w:val="22"/>
        </w:rPr>
      </w:r>
    </w:p>
    <w:p>
      <w:pPr>
        <w:sectPr>
          <w:headerReference w:type="default" r:id="rId12"/>
          <w:headerReference w:type="first" r:id="rId13"/>
          <w:footerReference w:type="default" r:id="rId14"/>
          <w:footerReference w:type="first" r:id="rId15"/>
          <w:type w:val="nextPage"/>
          <w:pgSz w:w="12240" w:h="15840"/>
          <w:pgMar w:left="1080" w:right="1080" w:gutter="0" w:header="720" w:top="1440" w:footer="720" w:bottom="144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ind w:end="180"/>
        <w:jc w:val="center"/>
        <w:rPr>
          <w:b/>
          <w:sz w:val="22"/>
        </w:rPr>
      </w:pPr>
      <w:r>
        <w:rPr>
          <w:b/>
          <w:sz w:val="22"/>
        </w:rPr>
        <w:t xml:space="preserve"> </w:t>
      </w:r>
      <w:r>
        <w:rPr>
          <w:b/>
          <w:sz w:val="22"/>
          <w:u w:val="single"/>
        </w:rPr>
        <w:t xml:space="preserve">EXHIBIT A   </w:t>
      </w:r>
    </w:p>
    <w:p>
      <w:pPr>
        <w:pStyle w:val="Normal"/>
        <w:ind w:end="180"/>
        <w:jc w:val="center"/>
        <w:rPr>
          <w:b/>
          <w:sz w:val="22"/>
        </w:rPr>
      </w:pPr>
      <w:r>
        <w:rPr>
          <w:b/>
          <w:sz w:val="22"/>
        </w:rPr>
      </w:r>
    </w:p>
    <w:p>
      <w:pPr>
        <w:pStyle w:val="ModLegal1"/>
        <w:rPr>
          <w:sz w:val="22"/>
        </w:rPr>
      </w:pPr>
      <w:r>
        <w:rPr>
          <w:sz w:val="22"/>
        </w:rPr>
        <w:t>ENRON CORP.</w:t>
      </w:r>
    </w:p>
    <w:p>
      <w:pPr>
        <w:pStyle w:val="ModLegal1"/>
        <w:rPr>
          <w:sz w:val="22"/>
        </w:rPr>
      </w:pPr>
      <w:r>
        <w:rPr>
          <w:sz w:val="22"/>
        </w:rPr>
        <w:t>Guaranty</w:t>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is made and entered into by </w:t>
      </w:r>
      <w:r>
        <w:rPr>
          <w:caps/>
          <w:sz w:val="22"/>
        </w:rPr>
        <w:t>Enron Corp.</w:t>
      </w:r>
      <w:r>
        <w:rPr>
          <w:sz w:val="22"/>
        </w:rPr>
        <w:t>, an Oregon corporation (“Guarantor”).</w:t>
      </w:r>
    </w:p>
    <w:p>
      <w:pPr>
        <w:pStyle w:val="Normal"/>
        <w:spacing w:lineRule="atLeast" w:line="240"/>
        <w:ind w:firstLine="720" w:end="0"/>
        <w:jc w:val="both"/>
        <w:rPr>
          <w:sz w:val="22"/>
        </w:rPr>
      </w:pPr>
      <w:r>
        <w:rPr>
          <w:sz w:val="22"/>
        </w:rPr>
      </w:r>
    </w:p>
    <w:p>
      <w:pPr>
        <w:pStyle w:val="ModLegal1"/>
        <w:rPr>
          <w:sz w:val="22"/>
        </w:rPr>
      </w:pPr>
      <w:r>
        <w:rPr>
          <w:sz w:val="22"/>
        </w:rPr>
        <w:t>W I T N E S S E T H:</w:t>
      </w:r>
    </w:p>
    <w:p>
      <w:pPr>
        <w:pStyle w:val="Normal"/>
        <w:ind w:firstLine="720" w:end="0"/>
        <w:jc w:val="both"/>
        <w:rPr>
          <w:sz w:val="22"/>
        </w:rPr>
      </w:pPr>
      <w:r>
        <w:rPr>
          <w:sz w:val="22"/>
        </w:rPr>
        <w:t xml:space="preserve">WHEREAS, FLORIDA POWER &amp; LIGHT COMPANY, a Florida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tabs>
          <w:tab w:val="clear" w:pos="720"/>
          <w:tab w:val="left" w:pos="1080" w:leader="none"/>
        </w:tabs>
        <w:ind w:firstLine="720" w:end="0"/>
        <w:jc w:val="both"/>
        <w:rPr/>
      </w:pPr>
      <w:r>
        <w:rPr>
          <w:sz w:val="22"/>
        </w:rPr>
        <w:t>1.</w:t>
        <w:tab/>
      </w:r>
      <w:r>
        <w:rPr>
          <w:sz w:val="22"/>
          <w:u w:val="single"/>
        </w:rPr>
        <w:t>GUARANTY</w:t>
      </w:r>
      <w:r>
        <w:rPr>
          <w:sz w:val="22"/>
        </w:rPr>
        <w:t>.  Subject to the provisions hereof, Guarantor hereby irrevocably and unconditionally guarantees to Counterparty the prompt payment when due, from time to time, of the obligations of Enron (the “Obligations”) to Counterparty under the Contract.  This Guaranty shall constitute a guarantee of payment and not of collection.  Guarantor shall pay any and all expenses (including reasonable counsel fees) incurred by Counterparty in enforcing its rights under this Guaranty should it be determined that Guarantor is required to pay hereunder or should Guarantor otherwise pay Counterparty hereunder.  The liability of Guarantor under the Guaranty shall be subject to the following:</w:t>
      </w:r>
    </w:p>
    <w:p>
      <w:pPr>
        <w:pStyle w:val="Normal"/>
        <w:ind w:firstLine="720" w:end="0"/>
        <w:jc w:val="both"/>
        <w:rPr>
          <w:sz w:val="22"/>
        </w:rPr>
      </w:pPr>
      <w:r>
        <w:rPr>
          <w:sz w:val="22"/>
        </w:rPr>
      </w:r>
    </w:p>
    <w:p>
      <w:pPr>
        <w:pStyle w:val="BodyTextIndent2"/>
        <w:spacing w:before="0" w:after="240"/>
        <w:rPr/>
      </w:pPr>
      <w:r>
        <w:rPr/>
        <w:t>(a)  Guarantor’s liability hereunder shall be and is specifically limited to amounts due pursuant to the Contract (even if such payments are deemed to be damages)and, except to the extent specifically provided in the Contract or herein, in no event shall Guarantor be subject hereunder to consequential, exemplary, equitable, loss of profits, punitive, tort, or any other damages, costs, or attorney’s fees.</w:t>
      </w:r>
    </w:p>
    <w:p>
      <w:pPr>
        <w:pStyle w:val="BodyTextIndent2"/>
        <w:spacing w:before="0" w:after="24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  The aggregate amount covered by this Guaranty shall not exceed U.S. $17,000,000.</w:t>
      </w:r>
    </w:p>
    <w:p>
      <w:pPr>
        <w:pStyle w:val="Normal"/>
        <w:tabs>
          <w:tab w:val="clear" w:pos="720"/>
          <w:tab w:val="left" w:pos="1080" w:leader="none"/>
        </w:tabs>
        <w:spacing w:lineRule="atLeast" w:line="240"/>
        <w:ind w:firstLine="720" w:end="0"/>
        <w:jc w:val="both"/>
        <w:rPr/>
      </w:pPr>
      <w:r>
        <w:rPr>
          <w:sz w:val="22"/>
        </w:rPr>
        <w:t xml:space="preserve">2. </w:t>
        <w:tab/>
      </w:r>
      <w:r>
        <w:rPr>
          <w:sz w:val="22"/>
          <w:u w:val="single"/>
        </w:rPr>
        <w:t>DEMANDS AND NOTICE</w:t>
      </w:r>
      <w:r>
        <w:rPr>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numPr>
          <w:ilvl w:val="0"/>
          <w:numId w:val="6"/>
        </w:numPr>
        <w:spacing w:lineRule="atLeast" w:line="240"/>
        <w:jc w:val="both"/>
        <w:rPr>
          <w:sz w:val="22"/>
        </w:rPr>
      </w:pPr>
      <w:r>
        <w:rPr>
          <w:sz w:val="22"/>
          <w:u w:val="single"/>
        </w:rPr>
        <w:t>REPRESENTATIONS AND WARRANTIES</w:t>
      </w:r>
      <w:r>
        <w:rPr>
          <w:sz w:val="22"/>
        </w:rPr>
        <w:t>.  Guarantor represents and warrants that:</w:t>
      </w:r>
    </w:p>
    <w:p>
      <w:pPr>
        <w:pStyle w:val="Normal"/>
        <w:keepNext w:val="true"/>
        <w:spacing w:lineRule="atLeast" w:line="240"/>
        <w:ind w:start="720" w:end="0"/>
        <w:jc w:val="both"/>
        <w:rPr>
          <w:sz w:val="22"/>
        </w:rPr>
      </w:pPr>
      <w:r>
        <w:rPr>
          <w:sz w:val="22"/>
        </w:rPr>
      </w:r>
    </w:p>
    <w:p>
      <w:pPr>
        <w:pStyle w:val="BodyTextIndent2"/>
        <w:spacing w:before="0" w:after="240"/>
        <w:rPr/>
      </w:pPr>
      <w:r>
        <w:rPr/>
        <w:t xml:space="preserve">(a)  it is a corporation duly organized and validly existing under the laws of the State of Oregon and has the corporate power and authority to execute, deliver and carry out the terms and provisions of the Guaranty; </w:t>
      </w:r>
    </w:p>
    <w:p>
      <w:pPr>
        <w:pStyle w:val="BodyTextIndent2"/>
        <w:spacing w:before="0" w:after="240"/>
        <w:rPr/>
      </w:pPr>
      <w:r>
        <w:rPr/>
        <w:t>(b)  no authorization, approval, consent or order of, or registration or filing with, any court or other governmental body having jurisdiction over Guarantor is required on the part of Guarantor for the execution, delivery or performance of this Guaranty; and</w:t>
      </w:r>
    </w:p>
    <w:p>
      <w:pPr>
        <w:pStyle w:val="BodyTextIndent2"/>
        <w:spacing w:before="0" w:after="24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tabs>
          <w:tab w:val="clear" w:pos="720"/>
          <w:tab w:val="left" w:pos="1080" w:leader="none"/>
        </w:tabs>
        <w:spacing w:lineRule="atLeast" w:line="240"/>
        <w:ind w:firstLine="720" w:end="0"/>
        <w:jc w:val="both"/>
        <w:rPr/>
      </w:pPr>
      <w:r>
        <w:rPr>
          <w:sz w:val="22"/>
        </w:rPr>
        <w:t xml:space="preserve">4.  </w:t>
        <w:tab/>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tabs>
          <w:tab w:val="clear" w:pos="720"/>
          <w:tab w:val="left" w:pos="1080" w:leader="none"/>
        </w:tabs>
        <w:spacing w:lineRule="atLeast" w:line="240"/>
        <w:ind w:firstLine="720" w:end="0"/>
        <w:jc w:val="both"/>
        <w:rPr/>
      </w:pPr>
      <w:r>
        <w:rPr>
          <w:sz w:val="22"/>
        </w:rPr>
        <w:t xml:space="preserve">5.  </w:t>
        <w:tab/>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numPr>
          <w:ilvl w:val="0"/>
          <w:numId w:val="2"/>
        </w:numPr>
        <w:tabs>
          <w:tab w:val="clear" w:pos="720"/>
          <w:tab w:val="left" w:pos="1080" w:leader="none"/>
        </w:tabs>
        <w:ind w:firstLine="360" w:start="360" w:end="0"/>
        <w:rPr>
          <w:sz w:val="22"/>
        </w:rPr>
      </w:pPr>
      <w:r>
        <w:rPr>
          <w:sz w:val="22"/>
          <w:u w:val="single"/>
        </w:rPr>
        <w:t>WAIVERS</w:t>
      </w:r>
      <w:r>
        <w:rPr>
          <w:sz w:val="22"/>
        </w:rPr>
        <w:t xml:space="preserve">.  </w:t>
      </w:r>
    </w:p>
    <w:p>
      <w:pPr>
        <w:pStyle w:val="Normal"/>
        <w:rPr>
          <w:sz w:val="22"/>
        </w:rPr>
      </w:pPr>
      <w:r>
        <w:rPr>
          <w:sz w:val="22"/>
        </w:rPr>
      </w:r>
    </w:p>
    <w:p>
      <w:pPr>
        <w:pStyle w:val="BodyTextIndent2"/>
        <w:numPr>
          <w:ilvl w:val="0"/>
          <w:numId w:val="7"/>
        </w:numPr>
        <w:tabs>
          <w:tab w:val="clear" w:pos="1350"/>
          <w:tab w:val="left" w:pos="1080" w:leader="none"/>
        </w:tabs>
        <w:ind w:firstLine="720" w:start="0" w:end="0"/>
        <w:rPr/>
      </w:pPr>
      <w:r>
        <w:rPr/>
        <w:t>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 Notwithstanding any payments made by or for the account of the Guarantor pursuant to this Guaranty, the Guarantor shall not be subrogated to any rights of the Counterparty until such time as the Counterparty shall have received payment of the full amount of all of the indebtedness hereby guaranteed and the Guarantor hereby waives any such rights.</w:t>
      </w:r>
    </w:p>
    <w:p>
      <w:pPr>
        <w:pStyle w:val="BodyTextIndent2"/>
        <w:tabs>
          <w:tab w:val="clear" w:pos="1350"/>
          <w:tab w:val="left" w:pos="1080" w:leader="none"/>
        </w:tabs>
        <w:rPr/>
      </w:pPr>
      <w:r>
        <w:rPr/>
      </w:r>
    </w:p>
    <w:p>
      <w:pPr>
        <w:pStyle w:val="BodyTextIndent2"/>
        <w:numPr>
          <w:ilvl w:val="0"/>
          <w:numId w:val="7"/>
        </w:numPr>
        <w:tabs>
          <w:tab w:val="clear" w:pos="1350"/>
          <w:tab w:val="left" w:pos="1080" w:leader="none"/>
        </w:tabs>
        <w:ind w:firstLine="720" w:start="0" w:end="0"/>
        <w:rPr/>
      </w:pPr>
      <w:r>
        <w:rPr/>
        <w:t>Except as to applicable statutes of limitation, no failure on the part of the Counterparty to exercise, and no delay by the Counterparty in exercising, any right hereunder shall operate as a waiver thereof, nor shall nay single or partial exercise of any right hereunder preclude any other or further exercise thereof or the exercise of any other right by the Counterparty.  Except as to Section 2, no notice to or demand on the Guarantor in any case by the Counterparty hereunder shall entitle the Guarantor to any further notice or demand in any similar or other circumstances or constitute a waiver of the rights of the Counterparty to take any other or future action in any circumstances without notice or demand.  The remedies provided to the Counterparty in this Guaranty are cumulative and not exclusive of any other remedies provided by law.</w:t>
      </w:r>
    </w:p>
    <w:p>
      <w:pPr>
        <w:pStyle w:val="BodyTextIndent2"/>
        <w:tabs>
          <w:tab w:val="clear" w:pos="1350"/>
          <w:tab w:val="left" w:pos="1080" w:leader="none"/>
        </w:tabs>
        <w:rPr/>
      </w:pPr>
      <w:r>
        <w:rPr/>
      </w:r>
    </w:p>
    <w:p>
      <w:pPr>
        <w:pStyle w:val="BodyTextIndent2"/>
        <w:numPr>
          <w:ilvl w:val="0"/>
          <w:numId w:val="7"/>
        </w:numPr>
        <w:tabs>
          <w:tab w:val="clear" w:pos="1350"/>
          <w:tab w:val="left" w:pos="1080" w:leader="none"/>
        </w:tabs>
        <w:ind w:firstLine="720" w:start="0" w:end="0"/>
        <w:rPr/>
      </w:pPr>
      <w:r>
        <w:rPr/>
        <w:t>The Guarantor consents and agrees that, without notice to or consent by the Guarantor and without affecting or impairing the liability of the Guarantor under this Guaranty, the Counterparty may compromise or settle, extend the period of duration or the time for the payment, discharge performance of any of the Obligations, and/or may refuse to enforce or may release all or any parties to any or all of the Obligations (including without limitation any other guarantor thereof) or any collateral therefore, and/or may grant other indulgences to Enron, or such other parties in respect thereof, and/or may waive, amend or supplement in any manner the provisions of the Contract or any other document, instrument or agreement relating to or securing any of the Obligations, and/or may release, surrender, exchange, modify, or compromise any and all collateral securing any of the Obligations or in which the Counterparty may at any time have a lien, and/or may refuse to enforce its rights or may make any compromise or settlement or agreement therefore, in respect of any and all of such collateral, or with any party to any of the Obligations or the Contract, or with any other person, and/or may release or substitute any one or more of the other endorsers or guarantors of the Obligations whether parties to this Guaranty or not, and/or may exchange, enforce, waive or release any collateral for any guaranty of any of the Obligations.</w:t>
      </w:r>
    </w:p>
    <w:p>
      <w:pPr>
        <w:pStyle w:val="BodyTextIndent2"/>
        <w:tabs>
          <w:tab w:val="clear" w:pos="1350"/>
          <w:tab w:val="left" w:pos="1080" w:leader="none"/>
        </w:tabs>
        <w:rPr/>
      </w:pPr>
      <w:r>
        <w:rPr/>
      </w:r>
    </w:p>
    <w:p>
      <w:pPr>
        <w:pStyle w:val="Normal"/>
        <w:tabs>
          <w:tab w:val="clear" w:pos="720"/>
          <w:tab w:val="left" w:pos="1080" w:leader="none"/>
        </w:tabs>
        <w:ind w:firstLine="720" w:end="0"/>
        <w:rPr>
          <w:sz w:val="22"/>
        </w:rPr>
      </w:pPr>
      <w:r>
        <w:rPr>
          <w:sz w:val="22"/>
        </w:rPr>
        <w:t xml:space="preserve">7.  </w:t>
        <w:tab/>
      </w:r>
      <w:r>
        <w:rPr>
          <w:sz w:val="22"/>
          <w:u w:val="single"/>
        </w:rPr>
        <w:t>TERMINATION, DISCHARGE</w:t>
      </w:r>
    </w:p>
    <w:p>
      <w:pPr>
        <w:pStyle w:val="Normal"/>
        <w:tabs>
          <w:tab w:val="clear" w:pos="720"/>
          <w:tab w:val="left" w:pos="1080" w:leader="none"/>
        </w:tabs>
        <w:ind w:firstLine="720" w:end="0"/>
        <w:rPr>
          <w:sz w:val="22"/>
        </w:rPr>
      </w:pPr>
      <w:r>
        <w:rPr>
          <w:sz w:val="22"/>
        </w:rPr>
      </w:r>
    </w:p>
    <w:p>
      <w:pPr>
        <w:pStyle w:val="BodyTextIndent2"/>
        <w:numPr>
          <w:ilvl w:val="0"/>
          <w:numId w:val="4"/>
        </w:numPr>
        <w:tabs>
          <w:tab w:val="clear" w:pos="1350"/>
          <w:tab w:val="left" w:pos="1080" w:leader="none"/>
          <w:tab w:val="left" w:pos="1170" w:leader="none"/>
        </w:tabs>
        <w:ind w:firstLine="720" w:start="0" w:end="0"/>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or any other Obligations arising prior to the time the termination is effective, which Transaction or other Obligations shall remain guaranteed and due pursuant to the terms of this Guaranty until they shall have been indefeasibly paid in full, subject to the limit of the Maximum Recovery Amount.</w:t>
      </w:r>
    </w:p>
    <w:p>
      <w:pPr>
        <w:pStyle w:val="BodyTextIndent2"/>
        <w:tabs>
          <w:tab w:val="clear" w:pos="1350"/>
          <w:tab w:val="left" w:pos="1080" w:leader="none"/>
          <w:tab w:val="left" w:pos="1170" w:leader="none"/>
        </w:tabs>
        <w:rPr/>
      </w:pPr>
      <w:r>
        <w:rPr/>
      </w:r>
    </w:p>
    <w:p>
      <w:pPr>
        <w:pStyle w:val="BodyTextIndent2"/>
        <w:numPr>
          <w:ilvl w:val="0"/>
          <w:numId w:val="4"/>
        </w:numPr>
        <w:tabs>
          <w:tab w:val="clear" w:pos="1350"/>
          <w:tab w:val="left" w:pos="1080" w:leader="none"/>
          <w:tab w:val="left" w:pos="1170" w:leader="none"/>
        </w:tabs>
        <w:ind w:firstLine="720" w:start="0" w:end="0"/>
        <w:rPr/>
      </w:pPr>
      <w:r>
        <w:rPr/>
        <w:t>If claim is ever made upon the Counterparty for repayment or recovery of any amount received by the Counterparty in payment or on account of any of the Obligations, and if the Counterparty repays all or part of said amount by reason of (i) any judgment, decree or order of any court or administrative body having jurisdiction over the Counterparty or any of its property or (ii) any settlement or compromise of any such claim effected by the Counterparty with any such claimant (including without limitation Enron or a trustee, conservator or receiver for Enron), then and in such event the Guarantor agrees that any such judgment, decree, order, settlement or compromise shall be binding upon the Guarantor, notwithstanding any revocation or cancellation of this Guaranty or of the Contract, and the Guarantor shall be and remain liable to the Counterparty hereunder for the amount so repaid or recovered to the same extent as if such amount had never originally been paid to the Counterparty and the Guarantor's obligations and liabilities to the Counterparty under this Guaranty shall be reinstated to such extent and this Guaranty and any collateral for this Guaranty shall remain in full force and effect (or shall be reinstated) to such extent, subject, however, in each such case to the limit of the Maximum Recovery Amount.</w:t>
      </w:r>
    </w:p>
    <w:p>
      <w:pPr>
        <w:pStyle w:val="BodyTextIndent2"/>
        <w:ind w:hanging="0" w:end="0"/>
        <w:rPr/>
      </w:pPr>
      <w:r>
        <w:rPr/>
      </w:r>
    </w:p>
    <w:p>
      <w:pPr>
        <w:pStyle w:val="Normal"/>
        <w:tabs>
          <w:tab w:val="clear" w:pos="720"/>
          <w:tab w:val="left" w:pos="1080" w:leader="none"/>
        </w:tabs>
        <w:spacing w:lineRule="atLeast" w:line="240"/>
        <w:ind w:firstLine="720" w:end="0"/>
        <w:jc w:val="both"/>
        <w:rPr/>
      </w:pPr>
      <w:r>
        <w:rPr>
          <w:sz w:val="22"/>
        </w:rPr>
        <w:t xml:space="preserve">8.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keepNext w:val="true"/>
        <w:keepLines/>
        <w:tabs>
          <w:tab w:val="clear" w:pos="720"/>
          <w:tab w:val="left" w:pos="540" w:leader="none"/>
          <w:tab w:val="left" w:pos="900" w:leader="none"/>
          <w:tab w:val="left" w:pos="4860" w:leader="none"/>
          <w:tab w:val="left" w:pos="5220" w:leader="none"/>
          <w:tab w:val="left" w:pos="7018" w:leader="none"/>
          <w:tab w:val="left" w:pos="9588" w:leader="none"/>
        </w:tabs>
        <w:spacing w:lineRule="atLeast" w:line="240"/>
        <w:ind w:start="540" w:end="0"/>
        <w:rPr>
          <w:b/>
          <w:sz w:val="22"/>
        </w:rPr>
      </w:pPr>
      <w:r>
        <w:rPr>
          <w:b/>
          <w:sz w:val="22"/>
        </w:rPr>
        <w:t>To Counterparty:</w:t>
        <w:tab/>
        <w:t>To Guarantor:</w:t>
        <w:tab/>
      </w:r>
    </w:p>
    <w:p>
      <w:pPr>
        <w:pStyle w:val="Normal"/>
        <w:keepNext w:val="true"/>
        <w:keepLines/>
        <w:tabs>
          <w:tab w:val="clear" w:pos="720"/>
          <w:tab w:val="left" w:pos="540" w:leader="none"/>
          <w:tab w:val="left" w:pos="900" w:leader="none"/>
          <w:tab w:val="left" w:pos="4860" w:leader="none"/>
          <w:tab w:val="left" w:pos="5220" w:leader="none"/>
          <w:tab w:val="left" w:pos="9588" w:leader="none"/>
        </w:tabs>
        <w:spacing w:lineRule="atLeast" w:line="240" w:before="120" w:after="0"/>
        <w:ind w:start="540" w:end="0"/>
        <w:rPr>
          <w:sz w:val="22"/>
        </w:rPr>
      </w:pPr>
      <w:r>
        <w:rPr>
          <w:sz w:val="22"/>
        </w:rPr>
        <w:tab/>
        <w:t>Florida Power &amp; Light Company</w:t>
        <w:tab/>
        <w:tab/>
        <w:t>Enron Corp.</w:t>
      </w:r>
    </w:p>
    <w:p>
      <w:pPr>
        <w:pStyle w:val="Normal"/>
        <w:keepNext w:val="true"/>
        <w:keepLines/>
        <w:tabs>
          <w:tab w:val="clear" w:pos="720"/>
          <w:tab w:val="left" w:pos="540" w:leader="none"/>
          <w:tab w:val="left" w:pos="900" w:leader="none"/>
          <w:tab w:val="right" w:pos="1548" w:leader="none"/>
          <w:tab w:val="left" w:pos="4860" w:leader="none"/>
          <w:tab w:val="left" w:pos="5220" w:leader="none"/>
          <w:tab w:val="left" w:pos="5778" w:leader="none"/>
          <w:tab w:val="left" w:pos="9308" w:leader="none"/>
        </w:tabs>
        <w:spacing w:lineRule="atLeast" w:line="240"/>
        <w:ind w:start="540" w:end="0"/>
        <w:rPr/>
      </w:pPr>
      <w:r>
        <w:rPr>
          <w:color w:val="000000"/>
          <w:sz w:val="22"/>
        </w:rPr>
        <w:tab/>
      </w:r>
      <w:r>
        <w:rPr>
          <w:rStyle w:val="FOOTNOTETEX"/>
          <w:sz w:val="22"/>
        </w:rPr>
        <w:t>c/o Energy Marketing &amp; Trading</w:t>
      </w:r>
      <w:r>
        <w:rPr>
          <w:color w:val="000000"/>
          <w:sz w:val="22"/>
        </w:rPr>
        <w:tab/>
        <w:tab/>
        <w:t>1400 Smith Street</w:t>
      </w:r>
    </w:p>
    <w:p>
      <w:pPr>
        <w:pStyle w:val="Normal"/>
        <w:keepNext w:val="true"/>
        <w:keepLines/>
        <w:tabs>
          <w:tab w:val="clear" w:pos="720"/>
          <w:tab w:val="left" w:pos="540" w:leader="none"/>
          <w:tab w:val="left" w:pos="900" w:leader="none"/>
          <w:tab w:val="right" w:pos="1548" w:leader="none"/>
          <w:tab w:val="left" w:pos="4860" w:leader="none"/>
          <w:tab w:val="left" w:pos="5220" w:leader="none"/>
          <w:tab w:val="left" w:pos="5778" w:leader="none"/>
          <w:tab w:val="left" w:pos="9308" w:leader="none"/>
        </w:tabs>
        <w:spacing w:lineRule="atLeast" w:line="240"/>
        <w:ind w:start="540" w:end="0"/>
        <w:rPr/>
      </w:pPr>
      <w:r>
        <w:rPr>
          <w:color w:val="000000"/>
          <w:sz w:val="22"/>
        </w:rPr>
        <w:tab/>
      </w:r>
      <w:r>
        <w:rPr>
          <w:rStyle w:val="FOOTNOTETEX"/>
          <w:sz w:val="22"/>
        </w:rPr>
        <w:t>11770 U.S. Highway One</w:t>
      </w:r>
      <w:r>
        <w:rPr>
          <w:color w:val="000000"/>
          <w:sz w:val="22"/>
        </w:rPr>
        <w:tab/>
        <w:tab/>
        <w:t>Houston, Texas  77002</w:t>
      </w:r>
    </w:p>
    <w:p>
      <w:pPr>
        <w:pStyle w:val="Normal"/>
        <w:keepNext w:val="true"/>
        <w:keepLines/>
        <w:tabs>
          <w:tab w:val="clear" w:pos="720"/>
          <w:tab w:val="left" w:pos="540" w:leader="none"/>
          <w:tab w:val="left" w:pos="900" w:leader="none"/>
          <w:tab w:val="left" w:pos="4860" w:leader="none"/>
          <w:tab w:val="left" w:pos="5220" w:leader="none"/>
          <w:tab w:val="left" w:pos="5268" w:leader="none"/>
          <w:tab w:val="left" w:pos="9588" w:leader="none"/>
        </w:tabs>
        <w:spacing w:lineRule="atLeast" w:line="240"/>
        <w:ind w:start="540" w:end="0"/>
        <w:rPr>
          <w:sz w:val="22"/>
        </w:rPr>
      </w:pPr>
      <w:r>
        <w:rPr>
          <w:sz w:val="22"/>
        </w:rPr>
        <w:tab/>
        <w:t>North Palm Beach, Florida</w:t>
        <w:tab/>
        <w:tab/>
        <w:t>Attn.:  Vice President, Finance and Treasurer</w:t>
      </w:r>
    </w:p>
    <w:p>
      <w:pPr>
        <w:pStyle w:val="Normal"/>
        <w:keepNext w:val="true"/>
        <w:keepLines/>
        <w:tabs>
          <w:tab w:val="clear" w:pos="720"/>
          <w:tab w:val="left" w:pos="540" w:leader="none"/>
          <w:tab w:val="left" w:pos="900" w:leader="none"/>
          <w:tab w:val="left" w:pos="4860" w:leader="none"/>
          <w:tab w:val="left" w:pos="5220" w:leader="none"/>
          <w:tab w:val="left" w:pos="5268" w:leader="none"/>
          <w:tab w:val="left" w:pos="9588" w:leader="none"/>
        </w:tabs>
        <w:spacing w:lineRule="atLeast" w:line="240"/>
        <w:ind w:start="540" w:end="0"/>
        <w:rPr>
          <w:sz w:val="22"/>
        </w:rPr>
      </w:pPr>
      <w:r>
        <w:rPr>
          <w:sz w:val="22"/>
        </w:rPr>
        <w:tab/>
        <w:t>Attn.:  Director of Contracts</w:t>
        <w:tab/>
        <w:tab/>
        <w:t>Fax No.:  (713) 646-3422</w:t>
      </w:r>
    </w:p>
    <w:p>
      <w:pPr>
        <w:pStyle w:val="Normal"/>
        <w:keepNext w:val="true"/>
        <w:keepLines/>
        <w:tabs>
          <w:tab w:val="clear" w:pos="720"/>
          <w:tab w:val="left" w:pos="900" w:leader="none"/>
          <w:tab w:val="left" w:pos="4860" w:leader="none"/>
          <w:tab w:val="left" w:pos="4908" w:leader="none"/>
          <w:tab w:val="left" w:pos="5220" w:leader="none"/>
          <w:tab w:val="left" w:pos="5268" w:leader="none"/>
          <w:tab w:val="left" w:pos="9588" w:leader="none"/>
        </w:tabs>
        <w:spacing w:lineRule="atLeast" w:line="240"/>
        <w:ind w:start="540" w:end="0"/>
        <w:rPr>
          <w:sz w:val="22"/>
        </w:rPr>
      </w:pPr>
      <w:r>
        <w:rPr>
          <w:sz w:val="22"/>
        </w:rPr>
        <w:tab/>
        <w:t>Fax No.:  (561) 625-7504</w:t>
        <w:tab/>
        <w:tab/>
      </w:r>
    </w:p>
    <w:p>
      <w:pPr>
        <w:pStyle w:val="Normal"/>
        <w:tabs>
          <w:tab w:val="clear" w:pos="720"/>
          <w:tab w:val="left" w:pos="540" w:leader="none"/>
          <w:tab w:val="left" w:pos="2880" w:leader="none"/>
          <w:tab w:val="left" w:pos="4860" w:leader="none"/>
          <w:tab w:val="left" w:pos="6480" w:leader="none"/>
        </w:tabs>
        <w:spacing w:lineRule="exact" w:line="240"/>
        <w:ind w:start="720" w:end="0"/>
        <w:jc w:val="both"/>
        <w:rPr>
          <w:sz w:val="22"/>
        </w:rPr>
      </w:pPr>
      <w:r>
        <w:rPr>
          <w:sz w:val="22"/>
        </w:rPr>
      </w:r>
    </w:p>
    <w:p>
      <w:pPr>
        <w:pStyle w:val="Normal"/>
        <w:spacing w:lineRule="atLeast" w:line="240"/>
        <w:ind w:firstLine="720" w:end="0"/>
        <w:jc w:val="both"/>
        <w:rPr/>
      </w:pPr>
      <w:r>
        <w:rPr>
          <w:sz w:val="22"/>
        </w:rPr>
        <w:t xml:space="preserve">A copy of any notice sent to Guarantor pursuant hereto must also be sent to the above address to:  (i) Enron Corp., Attention: Corporate Secretary, Fax No. (713) 853-2534, and (ii) Enron North America Corp., Attention:  Assistant General Counsel, Trading Group, Fax No. (713) 646-4818. </w:t>
      </w:r>
      <w:r>
        <w:rPr>
          <w:rStyle w:val="FOOTNOTETEX"/>
          <w:sz w:val="22"/>
        </w:rPr>
        <w:t xml:space="preserve">A copy of all notices or other communications to </w:t>
      </w:r>
      <w:r>
        <w:rPr/>
        <w:t>Counterparty</w:t>
      </w:r>
      <w:r>
        <w:rPr>
          <w:rStyle w:val="FOOTNOTETEX"/>
          <w:sz w:val="22"/>
        </w:rPr>
        <w:t xml:space="preserve"> shall also be addressed to the attention of its General Counsel. Such </w:t>
      </w:r>
      <w:r>
        <w:rPr>
          <w:sz w:val="22"/>
        </w:rPr>
        <w:t>extra</w:t>
      </w:r>
      <w:r>
        <w:rPr>
          <w:rStyle w:val="FOOTNOTETEX"/>
          <w:sz w:val="22"/>
        </w:rPr>
        <w:t xml:space="preserve"> notice to its General </w:t>
      </w:r>
      <w:r>
        <w:rPr>
          <w:sz w:val="22"/>
        </w:rPr>
        <w:t>counsel</w:t>
      </w:r>
      <w:r>
        <w:rPr>
          <w:rStyle w:val="FOOTNOTETEX"/>
          <w:sz w:val="22"/>
        </w:rPr>
        <w:t xml:space="preserve"> shall not by itself constitute notice hereunder.</w:t>
      </w:r>
    </w:p>
    <w:p>
      <w:pPr>
        <w:pStyle w:val="Normal"/>
        <w:spacing w:lineRule="exact" w:line="240"/>
        <w:ind w:start="720" w:end="0"/>
        <w:jc w:val="both"/>
        <w:rPr>
          <w:rStyle w:val="FOOTNOTETEX"/>
          <w:sz w:val="22"/>
        </w:rPr>
      </w:pPr>
      <w:r>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tabs>
          <w:tab w:val="clear" w:pos="720"/>
          <w:tab w:val="left" w:pos="1080" w:leader="none"/>
        </w:tabs>
        <w:ind w:firstLine="720" w:end="0"/>
        <w:jc w:val="both"/>
        <w:rPr/>
      </w:pPr>
      <w:r>
        <w:rPr>
          <w:sz w:val="22"/>
        </w:rPr>
        <w:t xml:space="preserve">9. </w:t>
        <w:tab/>
      </w:r>
      <w:r>
        <w:rPr>
          <w:sz w:val="22"/>
          <w:u w:val="single"/>
        </w:rPr>
        <w:t>MISCELLANEOUS</w:t>
      </w:r>
      <w:r>
        <w:rPr>
          <w:sz w:val="22"/>
        </w:rPr>
        <w:t xml:space="preserve">.  </w:t>
      </w:r>
    </w:p>
    <w:p>
      <w:pPr>
        <w:pStyle w:val="Normal"/>
        <w:tabs>
          <w:tab w:val="clear" w:pos="720"/>
          <w:tab w:val="left" w:pos="1170" w:leader="none"/>
        </w:tabs>
        <w:ind w:firstLine="720" w:end="0"/>
        <w:jc w:val="both"/>
        <w:rPr>
          <w:sz w:val="22"/>
        </w:rPr>
      </w:pPr>
      <w:r>
        <w:rPr>
          <w:sz w:val="22"/>
        </w:rPr>
      </w:r>
    </w:p>
    <w:p>
      <w:pPr>
        <w:pStyle w:val="Normal"/>
        <w:numPr>
          <w:ilvl w:val="0"/>
          <w:numId w:val="5"/>
        </w:numPr>
        <w:tabs>
          <w:tab w:val="clear" w:pos="720"/>
          <w:tab w:val="left" w:pos="1080" w:leader="none"/>
        </w:tabs>
        <w:ind w:firstLine="720" w:start="0" w:end="0"/>
        <w:jc w:val="both"/>
        <w:rPr>
          <w:sz w:val="22"/>
        </w:rPr>
      </w:pPr>
      <w:r>
        <w:rPr>
          <w:sz w:val="22"/>
        </w:rPr>
        <w:t xml:space="preserve">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Time is of the essence of this Guaranty.  The remedies provided to the Counterparty in this Guaranty are cumulative and not exclusive of any other remedies provided by law.  </w:t>
      </w:r>
    </w:p>
    <w:p>
      <w:pPr>
        <w:pStyle w:val="Normal"/>
        <w:tabs>
          <w:tab w:val="clear" w:pos="720"/>
          <w:tab w:val="left" w:pos="1080" w:leader="none"/>
        </w:tabs>
        <w:ind w:firstLine="720" w:end="0"/>
        <w:jc w:val="both"/>
        <w:rPr>
          <w:sz w:val="22"/>
        </w:rPr>
      </w:pPr>
      <w:r>
        <w:rPr>
          <w:sz w:val="22"/>
        </w:rPr>
      </w:r>
    </w:p>
    <w:p>
      <w:pPr>
        <w:pStyle w:val="Normal"/>
        <w:numPr>
          <w:ilvl w:val="0"/>
          <w:numId w:val="5"/>
        </w:numPr>
        <w:tabs>
          <w:tab w:val="clear" w:pos="720"/>
          <w:tab w:val="left" w:pos="1080" w:leader="none"/>
        </w:tabs>
        <w:ind w:firstLine="720" w:start="0" w:end="0"/>
        <w:jc w:val="both"/>
        <w:rPr>
          <w:sz w:val="22"/>
        </w:rPr>
      </w:pPr>
      <w:r>
        <w:rPr>
          <w:sz w:val="22"/>
        </w:rPr>
        <w:t>If the Guarantor and/or Counterparty submit any issue or controversy relating to any Transaction for resolution by binding arbitration, then the resolution of any issue or controversy relating to the interpretation or applicability of this Guaranty may be submitted for resolution in such arbitral proceedings and all provisions relating to such arbitration shall apply to this guaranty as fully as to the Transaction.</w:t>
      </w:r>
    </w:p>
    <w:p>
      <w:pPr>
        <w:pStyle w:val="Normal"/>
        <w:tabs>
          <w:tab w:val="clear" w:pos="720"/>
          <w:tab w:val="left" w:pos="1080" w:leader="none"/>
        </w:tabs>
        <w:ind w:firstLine="720" w:end="0"/>
        <w:jc w:val="both"/>
        <w:rPr>
          <w:sz w:val="22"/>
        </w:rPr>
      </w:pPr>
      <w:r>
        <w:rPr>
          <w:sz w:val="22"/>
        </w:rPr>
      </w:r>
    </w:p>
    <w:p>
      <w:pPr>
        <w:pStyle w:val="Normal"/>
        <w:numPr>
          <w:ilvl w:val="0"/>
          <w:numId w:val="5"/>
        </w:numPr>
        <w:tabs>
          <w:tab w:val="clear" w:pos="720"/>
          <w:tab w:val="left" w:pos="1080" w:leader="none"/>
        </w:tabs>
        <w:ind w:firstLine="720" w:start="0" w:end="0"/>
        <w:jc w:val="both"/>
        <w:rPr>
          <w:sz w:val="22"/>
        </w:rPr>
      </w:pPr>
      <w:r>
        <w:rPr>
          <w:sz w:val="22"/>
        </w:rPr>
        <w:t>Words importing the singular number hereunder shall include the plural number and vice versa and any pronouns used herein shall be deemed to cover all genders.  The term "</w:t>
      </w:r>
      <w:r>
        <w:rPr>
          <w:sz w:val="22"/>
          <w:u w:val="single"/>
        </w:rPr>
        <w:t>person</w:t>
      </w:r>
      <w:r>
        <w:rPr>
          <w:sz w:val="22"/>
        </w:rPr>
        <w:t>" as used herein means any individual, corporation, partnership, joint venture, association, joint-stock company, trust, unincorporated association, or government (or any agency or political subdivision thereof).</w:t>
      </w:r>
    </w:p>
    <w:p>
      <w:pPr>
        <w:pStyle w:val="Normal"/>
        <w:tabs>
          <w:tab w:val="clear" w:pos="720"/>
          <w:tab w:val="left" w:pos="1080" w:leader="none"/>
        </w:tabs>
        <w:ind w:firstLine="720" w:end="0"/>
        <w:jc w:val="both"/>
        <w:rPr>
          <w:sz w:val="22"/>
        </w:rPr>
      </w:pPr>
      <w:r>
        <w:rPr>
          <w:sz w:val="22"/>
        </w:rPr>
      </w:r>
    </w:p>
    <w:p>
      <w:pPr>
        <w:pStyle w:val="Normal"/>
        <w:numPr>
          <w:ilvl w:val="0"/>
          <w:numId w:val="5"/>
        </w:numPr>
        <w:tabs>
          <w:tab w:val="clear" w:pos="720"/>
          <w:tab w:val="left" w:pos="1080" w:leader="none"/>
        </w:tabs>
        <w:ind w:firstLine="720" w:start="0" w:end="0"/>
        <w:jc w:val="both"/>
        <w:rPr/>
      </w:pPr>
      <w:r>
        <w:rPr>
          <w:sz w:val="22"/>
        </w:rPr>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pPr>
        <w:pStyle w:val="Normal"/>
        <w:spacing w:lineRule="atLeast" w:line="240"/>
        <w:ind w:firstLine="720" w:end="0"/>
        <w:jc w:val="both"/>
        <w:rPr>
          <w:sz w:val="22"/>
        </w:rPr>
      </w:pPr>
      <w:r>
        <w:rPr>
          <w:sz w:val="22"/>
        </w:rPr>
      </w:r>
    </w:p>
    <w:p>
      <w:pPr>
        <w:pStyle w:val="Normal"/>
        <w:ind w:firstLine="720" w:end="0"/>
        <w:jc w:val="both"/>
        <w:rPr>
          <w:sz w:val="22"/>
        </w:rPr>
      </w:pPr>
      <w:r>
        <w:rPr>
          <w:sz w:val="22"/>
        </w:rPr>
        <w:t>IN WITNESS WHEREOF, the Guarantor has delivered this Guaranty on October ___,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spacing w:lineRule="atLeast" w:line="240"/>
        <w:ind w:start="5040" w:end="0"/>
        <w:jc w:val="both"/>
        <w:rPr>
          <w:sz w:val="22"/>
        </w:rPr>
      </w:pPr>
      <w:r>
        <w:rPr>
          <w:sz w:val="22"/>
        </w:rPr>
      </w:r>
    </w:p>
    <w:p>
      <w:pPr>
        <w:pStyle w:val="Normal"/>
        <w:rPr>
          <w:sz w:val="22"/>
        </w:rPr>
      </w:pPr>
      <w:r>
        <w:rPr>
          <w:sz w:val="22"/>
        </w:rPr>
      </w:r>
    </w:p>
    <w:sectPr>
      <w:headerReference w:type="default" r:id="rId16"/>
      <w:headerReference w:type="first" r:id="rId17"/>
      <w:footerReference w:type="default" r:id="rId18"/>
      <w:footerReference w:type="first" r:id="rId19"/>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MIA_1998:570710-6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570710_61.DOC</w:t>
    </w:r>
    <w:r>
      <w:rPr>
        <w:sz w:val="16"/>
        <w:lang w:eastAsia="en-US"/>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7</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w:instrText>
    </w:r>
    <w:r>
      <w:rPr>
        <w:sz w:val="20"/>
      </w:rPr>
      <w:fldChar w:fldCharType="separate"/>
    </w:r>
    <w:r>
      <w:rPr>
        <w:sz w:val="20"/>
      </w:rPr>
      <w:t>570710_61.DOC</w:t>
    </w:r>
    <w:r>
      <w:rP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Footer"/>
      <w:widowControl/>
      <w:tabs>
        <w:tab w:val="clear" w:pos="4320"/>
        <w:tab w:val="right" w:pos="8640" w:leader="none"/>
      </w:tabs>
      <w:ind w:end="360"/>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570710_61.DOC</w:t>
    </w:r>
    <w:r>
      <w:rPr>
        <w:rStyle w:val="PageNumbe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360" w:hanging="360"/>
      </w:pPr>
      <w:rPr/>
    </w:lvl>
  </w:abstractNum>
  <w:abstractNum w:abstractNumId="3">
    <w:lvl w:ilvl="0">
      <w:start w:val="1"/>
      <w:numFmt w:val="lowerRoman"/>
      <w:lvlText w:val="(%1)"/>
      <w:lvlJc w:val="start"/>
      <w:pPr>
        <w:tabs>
          <w:tab w:val="num" w:pos="2880"/>
        </w:tabs>
        <w:ind w:start="2880" w:hanging="720"/>
      </w:pPr>
      <w:rPr/>
    </w:lvl>
  </w:abstractNum>
  <w:abstractNum w:abstractNumId="4">
    <w:lvl w:ilvl="0">
      <w:start w:val="1"/>
      <w:numFmt w:val="lowerLetter"/>
      <w:lvlText w:val="(%1)"/>
      <w:lvlJc w:val="start"/>
      <w:pPr>
        <w:tabs>
          <w:tab w:val="num" w:pos="2160"/>
        </w:tabs>
        <w:ind w:start="2160" w:hanging="1440"/>
      </w:pPr>
      <w:rPr/>
    </w:lvl>
  </w:abstractNum>
  <w:abstractNum w:abstractNumId="5">
    <w:lvl w:ilvl="0">
      <w:start w:val="1"/>
      <w:numFmt w:val="lowerLetter"/>
      <w:lvlText w:val="(%1)"/>
      <w:lvlJc w:val="start"/>
      <w:pPr>
        <w:tabs>
          <w:tab w:val="num" w:pos="720"/>
        </w:tabs>
        <w:ind w:start="0" w:firstLine="1440"/>
      </w:pPr>
    </w:lvl>
  </w:abstractNum>
  <w:abstractNum w:abstractNumId="6">
    <w:lvl w:ilvl="0">
      <w:start w:val="3"/>
      <w:numFmt w:val="decimal"/>
      <w:lvlText w:val="%1."/>
      <w:lvlJc w:val="start"/>
      <w:pPr>
        <w:tabs>
          <w:tab w:val="num" w:pos="1080"/>
        </w:tabs>
        <w:ind w:start="1080" w:hanging="360"/>
      </w:pPr>
      <w:rPr/>
    </w:lvl>
  </w:abstractNum>
  <w:abstractNum w:abstractNumId="7">
    <w:lvl w:ilvl="0">
      <w:start w:val="1"/>
      <w:numFmt w:val="lowerLetter"/>
      <w:lvlText w:val="(%1)"/>
      <w:lvlJc w:val="start"/>
      <w:pPr>
        <w:tabs>
          <w:tab w:val="num" w:pos="2160"/>
        </w:tabs>
        <w:ind w:start="2160" w:hanging="1440"/>
      </w:pPr>
      <w:rPr/>
    </w:lvl>
  </w:abstractNum>
  <w:abstractNum w:abstractNumId="8">
    <w:lvl w:ilvl="0">
      <w:start w:val="3"/>
      <w:numFmt w:val="lowerLetter"/>
      <w:lvlText w:val="(%1)"/>
      <w:lvlJc w:val="start"/>
      <w:pPr>
        <w:tabs>
          <w:tab w:val="num" w:pos="1530"/>
        </w:tabs>
        <w:ind w:start="1530" w:hanging="720"/>
      </w:pPr>
      <w:rPr>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spacing w:lineRule="exact" w:line="240"/>
      <w:ind w:hanging="0" w:start="0" w:end="180"/>
      <w:jc w:val="center"/>
      <w:outlineLvl w:val="3"/>
    </w:pPr>
    <w:rPr>
      <w:sz w:val="22"/>
      <w:u w:val="single"/>
    </w:rPr>
  </w:style>
  <w:style w:type="character" w:styleId="WW8Num4z0">
    <w:name w:val="WW8Num4z0"/>
    <w:qFormat/>
    <w:rPr>
      <w:sz w:val="22"/>
    </w:rPr>
  </w:style>
  <w:style w:type="character" w:styleId="WW8Num7z0">
    <w:name w:val="WW8Num7z0"/>
    <w:qFormat/>
    <w:rPr>
      <w:sz w:val="22"/>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5z0">
    <w:name w:val="WW8Num15z0"/>
    <w:qFormat/>
    <w:rPr/>
  </w:style>
  <w:style w:type="character" w:styleId="WW8Num17z0">
    <w:name w:val="WW8Num17z0"/>
    <w:qFormat/>
    <w:rPr/>
  </w:style>
  <w:style w:type="character" w:styleId="WW8Num19z0">
    <w:name w:val="WW8Num19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b w:val="false"/>
      <w:i w:val="false"/>
    </w:rPr>
  </w:style>
  <w:style w:type="character" w:styleId="WW8Num27z0">
    <w:name w:val="WW8Num27z0"/>
    <w:qFormat/>
    <w:rPr/>
  </w:style>
  <w:style w:type="character" w:styleId="WW8Num28z0">
    <w:name w:val="WW8Num28z0"/>
    <w:qFormat/>
    <w:rPr/>
  </w:style>
  <w:style w:type="character" w:styleId="WW8Num32z0">
    <w:name w:val="WW8Num3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character" w:styleId="FOOTNOTETEX">
    <w:name w:val="FOOTNOTE TEX"/>
    <w:qFormat/>
    <w:rPr>
      <w:rFonts w:ascii="CG Times" w:hAnsi="CG Times" w:cs="CG Times"/>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ModLegal1">
    <w:name w:val="ModLegal1"/>
    <w:basedOn w:val="Normal"/>
    <w:next w:val="Normal"/>
    <w:qFormat/>
    <w:pPr>
      <w:spacing w:before="0" w:after="240"/>
      <w:jc w:val="center"/>
    </w:pPr>
    <w:rPr>
      <w:b/>
      <w:cap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2000-10-18T16:25:00Z</dcterms:created>
  <dc:creator>mheard</dc:creator>
  <dc:description/>
  <dc:language>en-CA</dc:language>
  <cp:lastModifiedBy>Steel Hector &amp; Davis LLP</cp:lastModifiedBy>
  <cp:lastPrinted>2000-08-21T14:39:00Z</cp:lastPrinted>
  <dcterms:modified xsi:type="dcterms:W3CDTF">2000-10-18T16:25:00Z</dcterms:modified>
  <cp:revision>2</cp:revision>
  <dc:subject/>
  <dc:title>ISDA Multicurrency Agreement</dc:title>
</cp:coreProperties>
</file>