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jc w:val="start"/>
        <w:rPr/>
      </w:pPr>
      <w:r>
        <w:rPr/>
        <w:t>UNITED STATES BANKRUPTCY COURT</w:t>
        <w:br/>
        <w:t>SOUTHERN DISTRICT OF NEW YORK</w:t>
      </w:r>
    </w:p>
    <w:tbl>
      <w:tblPr>
        <w:tblW w:w="8856" w:type="dxa"/>
        <w:jc w:val="start"/>
        <w:tblInd w:w="0" w:type="dxa"/>
        <w:tblLayout w:type="fixed"/>
        <w:tblCellMar>
          <w:top w:w="0" w:type="dxa"/>
          <w:start w:w="7" w:type="dxa"/>
          <w:bottom w:w="0" w:type="dxa"/>
          <w:end w:w="7" w:type="dxa"/>
        </w:tblCellMar>
      </w:tblPr>
      <w:tblGrid>
        <w:gridCol w:w="5112"/>
        <w:gridCol w:w="576"/>
        <w:gridCol w:w="3168"/>
      </w:tblGrid>
      <w:tr>
        <w:trPr/>
        <w:tc>
          <w:tcPr>
            <w:tcW w:w="5112" w:type="dxa"/>
            <w:tcBorders/>
          </w:tcPr>
          <w:p>
            <w:pPr>
              <w:pStyle w:val="Normal"/>
              <w:tabs>
                <w:tab w:val="clear" w:pos="720"/>
                <w:tab w:val="right" w:pos="5112" w:leader="hyphen"/>
              </w:tabs>
              <w:rPr>
                <w:b/>
              </w:rPr>
            </w:pPr>
            <w:r>
              <w:rPr>
                <w:b/>
              </w:rPr>
              <w:tab/>
            </w:r>
          </w:p>
        </w:tc>
        <w:tc>
          <w:tcPr>
            <w:tcW w:w="576" w:type="dxa"/>
            <w:tcBorders/>
          </w:tcPr>
          <w:p>
            <w:pPr>
              <w:pStyle w:val="Normal"/>
              <w:ind w:start="-29" w:end="0"/>
              <w:rPr>
                <w:b/>
              </w:rPr>
            </w:pPr>
            <w:r>
              <w:rPr>
                <w:b/>
              </w:rPr>
              <w:t>x</w:t>
            </w:r>
          </w:p>
        </w:tc>
        <w:tc>
          <w:tcPr>
            <w:tcW w:w="3168" w:type="dxa"/>
            <w:tcBorders/>
          </w:tcPr>
          <w:p>
            <w:pPr>
              <w:pStyle w:val="Normal"/>
              <w:snapToGrid w:val="false"/>
              <w:rPr>
                <w:b/>
              </w:rPr>
            </w:pPr>
            <w:r>
              <w:rPr>
                <w:b/>
              </w:rPr>
            </w:r>
          </w:p>
        </w:tc>
      </w:tr>
      <w:tr>
        <w:trPr/>
        <w:tc>
          <w:tcPr>
            <w:tcW w:w="5112" w:type="dxa"/>
            <w:tcBorders/>
          </w:tcPr>
          <w:p>
            <w:pPr>
              <w:pStyle w:val="Normal"/>
              <w:snapToGrid w:val="false"/>
              <w:rPr>
                <w:b/>
              </w:rPr>
            </w:pPr>
            <w:r>
              <w:rPr>
                <w:b/>
              </w:rPr>
            </w:r>
          </w:p>
        </w:tc>
        <w:tc>
          <w:tcPr>
            <w:tcW w:w="576" w:type="dxa"/>
            <w:tcBorders/>
          </w:tcPr>
          <w:p>
            <w:pPr>
              <w:pStyle w:val="Normal"/>
              <w:ind w:start="-29" w:end="0"/>
              <w:rPr>
                <w:b/>
              </w:rPr>
            </w:pPr>
            <w:r>
              <w:rPr>
                <w:b/>
              </w:rPr>
              <w:t>:</w:t>
            </w:r>
          </w:p>
        </w:tc>
        <w:tc>
          <w:tcPr>
            <w:tcW w:w="3168" w:type="dxa"/>
            <w:tcBorders/>
          </w:tcPr>
          <w:p>
            <w:pPr>
              <w:pStyle w:val="Normal"/>
              <w:snapToGrid w:val="false"/>
              <w:rPr>
                <w:b/>
              </w:rPr>
            </w:pPr>
            <w:r>
              <w:rPr>
                <w:b/>
              </w:rPr>
            </w:r>
          </w:p>
        </w:tc>
      </w:tr>
      <w:tr>
        <w:trPr/>
        <w:tc>
          <w:tcPr>
            <w:tcW w:w="5112" w:type="dxa"/>
            <w:tcBorders/>
          </w:tcPr>
          <w:p>
            <w:pPr>
              <w:pStyle w:val="Normal"/>
              <w:rPr>
                <w:b/>
              </w:rPr>
            </w:pPr>
            <w:r>
              <w:rPr>
                <w:b/>
              </w:rPr>
              <w:t>In re</w:t>
            </w:r>
          </w:p>
        </w:tc>
        <w:tc>
          <w:tcPr>
            <w:tcW w:w="576" w:type="dxa"/>
            <w:tcBorders/>
          </w:tcPr>
          <w:p>
            <w:pPr>
              <w:pStyle w:val="Normal"/>
              <w:ind w:start="-29" w:end="0"/>
              <w:rPr>
                <w:b/>
              </w:rPr>
            </w:pPr>
            <w:r>
              <w:rPr>
                <w:b/>
              </w:rPr>
              <w:t>:</w:t>
            </w:r>
          </w:p>
        </w:tc>
        <w:tc>
          <w:tcPr>
            <w:tcW w:w="3168" w:type="dxa"/>
            <w:tcBorders/>
          </w:tcPr>
          <w:p>
            <w:pPr>
              <w:pStyle w:val="Normal"/>
              <w:rPr>
                <w:b/>
              </w:rPr>
            </w:pPr>
            <w:r>
              <w:rPr>
                <w:b/>
              </w:rPr>
              <w:t>Chapter 11</w:t>
            </w:r>
          </w:p>
        </w:tc>
      </w:tr>
      <w:tr>
        <w:trPr/>
        <w:tc>
          <w:tcPr>
            <w:tcW w:w="5112" w:type="dxa"/>
            <w:tcBorders/>
          </w:tcPr>
          <w:p>
            <w:pPr>
              <w:pStyle w:val="Normal"/>
              <w:snapToGrid w:val="false"/>
              <w:rPr>
                <w:b/>
              </w:rPr>
            </w:pPr>
            <w:r>
              <w:rPr>
                <w:b/>
              </w:rPr>
            </w:r>
          </w:p>
        </w:tc>
        <w:tc>
          <w:tcPr>
            <w:tcW w:w="576" w:type="dxa"/>
            <w:tcBorders/>
          </w:tcPr>
          <w:p>
            <w:pPr>
              <w:pStyle w:val="Normal"/>
              <w:ind w:start="-29" w:end="0"/>
              <w:rPr>
                <w:b/>
              </w:rPr>
            </w:pPr>
            <w:r>
              <w:rPr>
                <w:b/>
              </w:rPr>
              <w:t>:</w:t>
            </w:r>
          </w:p>
        </w:tc>
        <w:tc>
          <w:tcPr>
            <w:tcW w:w="3168" w:type="dxa"/>
            <w:tcBorders/>
          </w:tcPr>
          <w:p>
            <w:pPr>
              <w:pStyle w:val="Normal"/>
              <w:snapToGrid w:val="false"/>
              <w:rPr>
                <w:b/>
              </w:rPr>
            </w:pPr>
            <w:r>
              <w:rPr>
                <w:b/>
              </w:rPr>
            </w:r>
          </w:p>
        </w:tc>
      </w:tr>
      <w:tr>
        <w:trPr/>
        <w:tc>
          <w:tcPr>
            <w:tcW w:w="5112" w:type="dxa"/>
            <w:tcBorders/>
          </w:tcPr>
          <w:p>
            <w:pPr>
              <w:pStyle w:val="Normal"/>
              <w:rPr>
                <w:b/>
              </w:rPr>
            </w:pPr>
            <w:r>
              <w:rPr>
                <w:b/>
              </w:rPr>
              <w:t xml:space="preserve">ENRON CORP., ET AL., </w:t>
            </w:r>
          </w:p>
        </w:tc>
        <w:tc>
          <w:tcPr>
            <w:tcW w:w="576" w:type="dxa"/>
            <w:tcBorders/>
          </w:tcPr>
          <w:p>
            <w:pPr>
              <w:pStyle w:val="Normal"/>
              <w:ind w:start="-29" w:end="0"/>
              <w:rPr>
                <w:b/>
              </w:rPr>
            </w:pPr>
            <w:r>
              <w:rPr>
                <w:b/>
              </w:rPr>
              <w:t>:</w:t>
            </w:r>
          </w:p>
          <w:p>
            <w:pPr>
              <w:pStyle w:val="Normal"/>
              <w:ind w:start="-29" w:end="0"/>
              <w:rPr>
                <w:b/>
              </w:rPr>
            </w:pPr>
            <w:r>
              <w:rPr>
                <w:b/>
              </w:rPr>
              <w:t>:</w:t>
            </w:r>
          </w:p>
        </w:tc>
        <w:tc>
          <w:tcPr>
            <w:tcW w:w="3168" w:type="dxa"/>
            <w:tcBorders/>
          </w:tcPr>
          <w:p>
            <w:pPr>
              <w:pStyle w:val="Normal"/>
              <w:rPr>
                <w:b/>
              </w:rPr>
            </w:pPr>
            <w:r>
              <w:rPr>
                <w:b/>
              </w:rPr>
              <w:t>Case No. 01-16034 (AJG)</w:t>
            </w:r>
          </w:p>
        </w:tc>
      </w:tr>
      <w:tr>
        <w:trPr/>
        <w:tc>
          <w:tcPr>
            <w:tcW w:w="5112" w:type="dxa"/>
            <w:tcBorders/>
          </w:tcPr>
          <w:p>
            <w:pPr>
              <w:pStyle w:val="Normal"/>
              <w:snapToGrid w:val="false"/>
              <w:rPr>
                <w:b/>
              </w:rPr>
            </w:pPr>
            <w:r>
              <w:rPr>
                <w:b/>
              </w:rPr>
            </w:r>
          </w:p>
        </w:tc>
        <w:tc>
          <w:tcPr>
            <w:tcW w:w="576" w:type="dxa"/>
            <w:tcBorders/>
          </w:tcPr>
          <w:p>
            <w:pPr>
              <w:pStyle w:val="Normal"/>
              <w:ind w:start="-29" w:end="0"/>
              <w:rPr>
                <w:b/>
              </w:rPr>
            </w:pPr>
            <w:r>
              <w:rPr>
                <w:b/>
              </w:rPr>
              <w:t>:</w:t>
            </w:r>
          </w:p>
        </w:tc>
        <w:tc>
          <w:tcPr>
            <w:tcW w:w="3168" w:type="dxa"/>
            <w:tcBorders/>
          </w:tcPr>
          <w:p>
            <w:pPr>
              <w:pStyle w:val="Normal"/>
              <w:rPr>
                <w:b/>
              </w:rPr>
            </w:pPr>
            <w:r>
              <w:rPr>
                <w:b/>
              </w:rPr>
              <w:t>Jointly Administered</w:t>
            </w:r>
          </w:p>
        </w:tc>
      </w:tr>
      <w:tr>
        <w:trPr/>
        <w:tc>
          <w:tcPr>
            <w:tcW w:w="5112" w:type="dxa"/>
            <w:tcBorders/>
          </w:tcPr>
          <w:p>
            <w:pPr>
              <w:pStyle w:val="Normal"/>
              <w:rPr>
                <w:b/>
              </w:rPr>
            </w:pPr>
            <w:r>
              <w:rPr>
                <w:b/>
              </w:rPr>
              <w:tab/>
              <w:tab/>
              <w:tab/>
              <w:t>Debtor Sellers.</w:t>
            </w:r>
          </w:p>
        </w:tc>
        <w:tc>
          <w:tcPr>
            <w:tcW w:w="576" w:type="dxa"/>
            <w:tcBorders/>
          </w:tcPr>
          <w:p>
            <w:pPr>
              <w:pStyle w:val="Normal"/>
              <w:ind w:start="-29" w:end="0"/>
              <w:rPr>
                <w:b/>
              </w:rPr>
            </w:pPr>
            <w:r>
              <w:rPr>
                <w:b/>
              </w:rPr>
              <w:t>:</w:t>
            </w:r>
          </w:p>
        </w:tc>
        <w:tc>
          <w:tcPr>
            <w:tcW w:w="3168" w:type="dxa"/>
            <w:tcBorders/>
          </w:tcPr>
          <w:p>
            <w:pPr>
              <w:pStyle w:val="Normal"/>
              <w:snapToGrid w:val="false"/>
              <w:rPr>
                <w:b/>
              </w:rPr>
            </w:pPr>
            <w:r>
              <w:rPr>
                <w:b/>
              </w:rPr>
            </w:r>
          </w:p>
        </w:tc>
      </w:tr>
      <w:tr>
        <w:trPr/>
        <w:tc>
          <w:tcPr>
            <w:tcW w:w="5112" w:type="dxa"/>
            <w:tcBorders/>
          </w:tcPr>
          <w:p>
            <w:pPr>
              <w:pStyle w:val="Normal"/>
              <w:rPr>
                <w:b/>
              </w:rPr>
            </w:pPr>
            <w:r>
              <w:rPr>
                <w:b/>
              </w:rPr>
              <w:t>---------------------------------------------------------------</w:t>
            </w:r>
          </w:p>
        </w:tc>
        <w:tc>
          <w:tcPr>
            <w:tcW w:w="576" w:type="dxa"/>
            <w:tcBorders/>
          </w:tcPr>
          <w:p>
            <w:pPr>
              <w:pStyle w:val="Normal"/>
              <w:ind w:start="-29" w:end="0"/>
              <w:rPr>
                <w:b/>
              </w:rPr>
            </w:pPr>
            <w:r>
              <w:rPr>
                <w:b/>
              </w:rPr>
              <w:t>x</w:t>
            </w:r>
          </w:p>
        </w:tc>
        <w:tc>
          <w:tcPr>
            <w:tcW w:w="3168" w:type="dxa"/>
            <w:tcBorders/>
          </w:tcPr>
          <w:p>
            <w:pPr>
              <w:pStyle w:val="Normal"/>
              <w:snapToGrid w:val="false"/>
              <w:rPr>
                <w:b/>
              </w:rPr>
            </w:pPr>
            <w:r>
              <w:rPr>
                <w:b/>
              </w:rPr>
            </w:r>
          </w:p>
        </w:tc>
      </w:tr>
    </w:tbl>
    <w:p>
      <w:pPr>
        <w:pStyle w:val="Heading"/>
        <w:spacing w:before="480" w:after="240"/>
        <w:ind w:start="720" w:end="540"/>
        <w:rPr>
          <w:u w:val="single"/>
        </w:rPr>
      </w:pPr>
      <w:r>
        <w:rPr/>
        <w:t>ORDER (A) ESTABLISHING BIDDING PROCEDURES, INCLUDING MANNER AND FORM OF NOTICE, (B) SCHEDULING A HEARING TO CONSIDER THE MOTION OF ENRON CORP. AND CERTAIN OF ITS AFFILIATED DEBTOR SELLERS FOR AN ORDER, PURSUANT TO SECTIONS 363 AND 365 OF THE BANKRUPTCY CODE, (1) APPROVING THE TERMS AND CONDITIONS OF AGREEMENTS FOR THE SALE OF ASSETS OF A PORTION OF ENRON’S WHOLESALE TRADING BUSINESS, AND (2) </w:t>
      </w:r>
      <w:r>
        <w:rPr>
          <w:lang w:eastAsia="en-US"/>
        </w:rPr>
        <w:t xml:space="preserve">AUTHORIZING THE CONSUMMATION </w:t>
        <w:br/>
      </w:r>
      <w:r>
        <w:rPr>
          <w:u w:val="single"/>
          <w:lang w:eastAsia="en-US"/>
        </w:rPr>
        <w:t>OF THE TRANSACTIONS CONTEMPLATED THEREIN</w:t>
      </w:r>
      <w:r>
        <w:rPr/>
        <w:br/>
      </w:r>
    </w:p>
    <w:p>
      <w:pPr>
        <w:pStyle w:val="BodyText2"/>
        <w:jc w:val="start"/>
        <w:rPr/>
      </w:pPr>
      <w:r>
        <w:rPr/>
        <w:t>Upon consideration of the motion, dated December 14, 2001 (the “Bidding Procedures Motion”),</w:t>
      </w:r>
      <w:r>
        <w:rPr>
          <w:rStyle w:val="FootnoteCharacters"/>
          <w:rStyle w:val="FootnoteReference"/>
        </w:rPr>
        <w:footnoteReference w:id="2"/>
      </w:r>
      <w:r>
        <w:rPr/>
        <w:t xml:space="preserve"> of Enron Corp., Enron North America Corp. and Enron Net Works LLC, as debtors in possession (collectively, the “Debtor Sellers”), for an order (a) establishing bidding procedures, including manner and form of notice, in connection with the sale of a portion of the Debtor Sellers’ wholesale trading operations pursuant to the terms and conditions of a proposed (1) Contribution Agreement, (2) Limited Partnership Agreement and (3) License Agreement, a copy of  each of which is annexed as Exhibits “A”, “B” and “C”, respectively, to the motion, dated December 14, 2001 (the “Sale Motion”), seeking approval of the Agreements and authorizing the transactions contemplated therein, and (b) setting a hearing on to consider the Sale Motion and the sale of assets requested therein, free and clear of all liens, claims and encumbrances, </w:t>
      </w:r>
      <w:r>
        <w:rPr>
          <w:u w:val="single"/>
        </w:rPr>
        <w:t>subject</w:t>
      </w:r>
      <w:r>
        <w:rPr/>
        <w:t xml:space="preserve">, </w:t>
      </w:r>
      <w:r>
        <w:rPr>
          <w:u w:val="single"/>
        </w:rPr>
        <w:t>however</w:t>
      </w:r>
      <w:r>
        <w:rPr/>
        <w:t>, to higher and better offers for the Assets (the “Competing Offers”), under section 363(b) of Title 11 of the United States Code (the “Bankruptcy Code”) and assumption and assignment of contracts and leases under sections 365(a) and (f) of the Bankruptcy Code; and it appearing that due and proper notice of the hearing to approve the Bidding Procedures Motion (the “Procedures Hearing”) has been provided to the Office of the United States Trustee for the Southern District of New York (the “United States Trustee”), the attorneys for the Debtor Sellers’ debtor in possession lenders (the “Banks”), and all parties having filed a notice of appearance in the chapter 11 cases pursuant to Rule 2002 of the Federal Rules of Bankruptcy Procedure (the “Bankruptcy Rules”); and it appearing that such notice constitutes good and sufficient notice of the Bidding Procedures Motion and the Procedures Hearing and that no other or further notice need be provided; and it further appearing that this Court has jurisdiction to consider the Bidding Procedures Motion and the relief requested therein pursuant to 28 U.S.C. §§ 157 and 1334; and the Procedures Hearing having been held on December 18, 2001, to consider the Bidding Procedures Motion and the procedural relief requested therein; and upon the Bidding Procedures Motion and the record of the Procedures Hearing and all other proceedings had before the Court; and it further appearing that the relief requested in the Bidding Procedures Motion is reasonable and necessary under the circumstances to protect the interests of the Debtor Sellers, their estates and creditors in connection with the proposed transfer of the assets of a portion of the Wholesale Business pursuant to the Agreements; and it appearing that an order establishing bidding procedures, fixing and approving the notice and scheduling the Sale Hearing and the Auction is in the best interests of the Debtor Sellers and parties in interest; and after due deliberation and sufficient cause appearing therefor, it is hereby</w:t>
      </w:r>
    </w:p>
    <w:p>
      <w:pPr>
        <w:pStyle w:val="BodyText2"/>
        <w:jc w:val="start"/>
        <w:rPr/>
      </w:pPr>
      <w:r>
        <w:rPr/>
        <w:t>ORDERED that the Bidding Procedures Motion is granted; and it is further</w:t>
      </w:r>
    </w:p>
    <w:p>
      <w:pPr>
        <w:pStyle w:val="BodyText2"/>
        <w:jc w:val="start"/>
        <w:rPr/>
      </w:pPr>
      <w:r>
        <w:rPr/>
        <w:t>ORDERED that, the Sale Hearing shall be held on January 11, 2002, at ____ _.m., or as soon thereafter as counsel may be heard, before the Honorable Arthur J. Gonzalez, United States Bankruptcy Judge, in Room 523 of the United States Bankruptcy Court, Alexander Hamilton Customs House, One Bowling Green, New York, New York 10004; and it is further</w:t>
      </w:r>
    </w:p>
    <w:p>
      <w:pPr>
        <w:pStyle w:val="BodyText2"/>
        <w:jc w:val="start"/>
        <w:rPr/>
      </w:pPr>
      <w:r>
        <w:rPr/>
        <w:t>ORDERED that, pursuant to Bankruptcy Rule 6004(f)(1), the Debtor Sellers are authorized to conduct the Auction in respect of a portion of the Wholesale Business at the offices of Weil, Gotshal &amp; Manges LLP, 767 Fifth Avenue, New York, New York  10153, on January 10, 2002, commencing at 10:00 a.m. (EST); and it is further</w:t>
      </w:r>
    </w:p>
    <w:p>
      <w:pPr>
        <w:pStyle w:val="BodyText2"/>
        <w:jc w:val="start"/>
        <w:rPr/>
      </w:pPr>
      <w:r>
        <w:rPr/>
        <w:t>ORDERED that Competing Offers, if any, for the Assets and the Auction shall be governed by the following terms and conditions (the “Auction Terms”):</w:t>
      </w:r>
    </w:p>
    <w:p>
      <w:pPr>
        <w:pStyle w:val="OutlineL4"/>
        <w:numPr>
          <w:ilvl w:val="3"/>
          <w:numId w:val="15"/>
        </w:numPr>
        <w:tabs>
          <w:tab w:val="left" w:pos="1440" w:leader="none"/>
        </w:tabs>
        <w:spacing w:before="0" w:after="120"/>
        <w:ind w:hanging="360" w:start="1440" w:end="720"/>
        <w:rPr/>
      </w:pPr>
      <w:r>
        <w:rPr/>
        <w:t>Any entity that wishes to make a bid for the specified assets associated with the Wholesale Business must provide the Debtor Sellers with sufficient and adequate information to demonstrate, to the sole and absolute satisfaction of the Debtor Sellers, that such competing bidder (i) has the financial wherewithal and ability to consummate the Sale Transaction including evidence of adequate financing, and including a financial guaranty, if appropriate, and (ii) can provide all non-debtor contracting parties to the Assumed Agreements with adequate assurance of future performance as contemplated by section 365 of the Bankruptcy Code.  Such written information must demonstrate that the bidder has an equivalent financial rating of “A1” or higher from Moody’s or “A+” or higher from Standard &amp; Poor’s.  Any party satisfying such criteria shall be designated as a “Qualified Party.”  Any Qualified Party shall be permitted to conduct reasonable due diligence for purposes of making a competing bid, subject to executing an appropriate confidentiality Agreements.</w:t>
      </w:r>
    </w:p>
    <w:p>
      <w:pPr>
        <w:pStyle w:val="OutlineL4"/>
        <w:numPr>
          <w:ilvl w:val="3"/>
          <w:numId w:val="15"/>
        </w:numPr>
        <w:tabs>
          <w:tab w:val="left" w:pos="1440" w:leader="none"/>
        </w:tabs>
        <w:spacing w:before="0" w:after="120"/>
        <w:ind w:hanging="360" w:start="1440" w:end="720"/>
        <w:rPr/>
      </w:pPr>
      <w:r>
        <w:rPr/>
        <w:t>The Debtor Sellers shall only entertain Competing Offers that are on substantially the same terms and conditions as those terms set forth in the Agreements and the documents set forth as exhibits thereto.</w:t>
      </w:r>
    </w:p>
    <w:p>
      <w:pPr>
        <w:pStyle w:val="OutlineL4"/>
        <w:numPr>
          <w:ilvl w:val="3"/>
          <w:numId w:val="15"/>
        </w:numPr>
        <w:tabs>
          <w:tab w:val="left" w:pos="1440" w:leader="none"/>
        </w:tabs>
        <w:spacing w:before="0" w:after="120"/>
        <w:ind w:hanging="360" w:start="1440" w:end="720"/>
        <w:rPr/>
      </w:pPr>
      <w:r>
        <w:rPr/>
        <w:t xml:space="preserve">Competing Offers must (a) be in writing and (b) be received by </w:t>
      </w:r>
      <w:r>
        <w:rPr>
          <w:rStyle w:val="PageNumber"/>
        </w:rPr>
        <w:t xml:space="preserve">(i) Weil, Gotshal &amp; Manges LLP, 767 Fifth Avenue, New York, New York 10153, Attention: Brian S. Rosen, Esq. (Facsimile: 212-310-8007), Attorneys for the Debtor Sellers; (ii) Davis, Polk &amp; Wardwell, 450 Lexington Avenue, New York, New York 10017, Attention: Donald S. Bernstein, Esq. (Facsimile: 212-450-3800), Attorneys for JP Morgan Chase Bank, as Agent; (iii) Shearman &amp; Sterling, 599 Lexington Avenue, New York, New York 10022, Attention: Fredric Sosnick, Esq. (Facsimile: 212-848-7179), Attorneys for Citicorp, as Agent and (iv) Milbank, Tweed, Hadley &amp; McCloy LLP, One Chase Manhattan Plaza, New York, New York 10005, Attention: Luc A. Despins, Esq., Attorneys for </w:t>
      </w:r>
      <w:r>
        <w:rPr/>
        <w:t xml:space="preserve">the Creditors’ Committee, so that such bid is received by such parties </w:t>
      </w:r>
      <w:r>
        <w:rPr>
          <w:rStyle w:val="PageNumber"/>
        </w:rPr>
        <w:t>no later than January 7, 2002, at 4:00 p.m. (EST) (the “Bid Deadline”).</w:t>
      </w:r>
      <w:r>
        <w:rPr/>
        <w:t xml:space="preserve">  Parties not submitting Competing Offers by the Bid Deadline shall not be permitted to participate at the Auction.</w:t>
      </w:r>
    </w:p>
    <w:p>
      <w:pPr>
        <w:pStyle w:val="OutlineL4"/>
        <w:numPr>
          <w:ilvl w:val="3"/>
          <w:numId w:val="15"/>
        </w:numPr>
        <w:tabs>
          <w:tab w:val="left" w:pos="1440" w:leader="none"/>
        </w:tabs>
        <w:spacing w:before="0" w:after="120"/>
        <w:ind w:hanging="360" w:start="1440" w:end="720"/>
        <w:rPr/>
      </w:pPr>
      <w:r>
        <w:rPr/>
        <w:t>Competing Offers must be accompanied by a good faith deposit in the amount of Twenty-Five Million Dollars ($25,000,000.00), in the form of a certified or cashier’s check made payable to Enron Corp.  All such deposits shall be retained by the Debtor Sellers (but the checks will not be cashed) pending the hearing to consider the Sale Motion and shall be returned at the close of such hearing, except that the Debtor Sellers shall hold the deposit of the winning bidder (as determined by the Debtor Sellers and accepted by the Court) and apply such deposit to the Purchase Price at closing.</w:t>
      </w:r>
    </w:p>
    <w:p>
      <w:pPr>
        <w:pStyle w:val="OutlineL4"/>
        <w:numPr>
          <w:ilvl w:val="3"/>
          <w:numId w:val="15"/>
        </w:numPr>
        <w:tabs>
          <w:tab w:val="left" w:pos="1440" w:leader="none"/>
        </w:tabs>
        <w:spacing w:before="0" w:after="120"/>
        <w:ind w:hanging="360" w:start="1440" w:end="720"/>
        <w:rPr/>
      </w:pPr>
      <w:r>
        <w:rPr/>
        <w:t>All Competing Offers shall be considered at the Auction to be held at the New York City offices of Weil, Gotshal &amp; Manges LLP, or in such manner and at such alternative location as the Debtor Sellers may determine or the Court may direct, on January 10, 2002 commencing at 10:00 a.m. (EST).</w:t>
      </w:r>
    </w:p>
    <w:p>
      <w:pPr>
        <w:pStyle w:val="OutlineL4"/>
        <w:numPr>
          <w:ilvl w:val="3"/>
          <w:numId w:val="15"/>
        </w:numPr>
        <w:tabs>
          <w:tab w:val="left" w:pos="1440" w:leader="none"/>
        </w:tabs>
        <w:spacing w:before="0" w:after="120"/>
        <w:ind w:hanging="360" w:start="1440" w:end="720"/>
        <w:rPr/>
      </w:pPr>
      <w:r>
        <w:rPr/>
        <w:t>If there is a successful competing bidder for the Wholesale Business, such successful bidder shall be bound by all of the terms and conditions of the Agreements with appropriate modifications for (i) the identity of the successful bidder and (ii) the purchase price, as the same shall have been increased at the Auction.</w:t>
      </w:r>
    </w:p>
    <w:p>
      <w:pPr>
        <w:pStyle w:val="OutlineL4"/>
        <w:numPr>
          <w:ilvl w:val="3"/>
          <w:numId w:val="15"/>
        </w:numPr>
        <w:tabs>
          <w:tab w:val="left" w:pos="1440" w:leader="none"/>
        </w:tabs>
        <w:spacing w:before="0" w:after="120"/>
        <w:ind w:hanging="360" w:start="1440" w:end="720"/>
        <w:rPr/>
      </w:pPr>
      <w:r>
        <w:rPr/>
        <w:t>Any Competing Offer must be presented under a contract substantially identical, except as to purchase price, to the Agreements, marked to show all changes made to the Agreements; and such bid must not be subject to due diligence review or obtaining financing.</w:t>
      </w:r>
    </w:p>
    <w:p>
      <w:pPr>
        <w:pStyle w:val="OutlineL4"/>
        <w:numPr>
          <w:ilvl w:val="3"/>
          <w:numId w:val="15"/>
        </w:numPr>
        <w:tabs>
          <w:tab w:val="left" w:pos="1440" w:leader="none"/>
        </w:tabs>
        <w:spacing w:before="0" w:after="120"/>
        <w:ind w:hanging="360" w:start="1440" w:end="720"/>
        <w:rPr/>
      </w:pPr>
      <w:r>
        <w:rPr/>
        <w:t xml:space="preserve">The Debtor Sellers shall, after the Bid Deadline and prior to the Auction, evaluate all bids received and determine which bid reflects the highest or best offer for the portion of the Wholesale Business.  The Debtor Sellers shall announce such determination at the commencement of the Auction.  </w:t>
      </w:r>
    </w:p>
    <w:p>
      <w:pPr>
        <w:pStyle w:val="OutlineL4"/>
        <w:numPr>
          <w:ilvl w:val="3"/>
          <w:numId w:val="15"/>
        </w:numPr>
        <w:tabs>
          <w:tab w:val="left" w:pos="1440" w:leader="none"/>
        </w:tabs>
        <w:spacing w:before="0" w:after="120"/>
        <w:ind w:hanging="360" w:start="1440" w:end="720"/>
        <w:rPr/>
      </w:pPr>
      <w:r>
        <w:rPr/>
        <w:t>In the event a competing bidder is the winning bidder (as determined by the Debtor Sellers and accepted by the Court), and such winning bidder fails to consummate the proposed transaction by the Closing Date, such bidder’s deposit shall be forfeited to the Debtor Sellers (but not as liquidated damages, the Debtor Sellers reserving the right to pursue all remedies that may be available to them) and the Debtor Sellers shall be free to consummate the proposed transaction with the next highest bidder at the final price bid by such bidder at the auction (or, if that bidder is unable to consummate the transaction at that price, the Debtor Sellers may consummate the transaction with the next higher bidder, and so forth) without the need for an additional hearing or order of the Court.</w:t>
      </w:r>
    </w:p>
    <w:p>
      <w:pPr>
        <w:pStyle w:val="OutlineL4"/>
        <w:numPr>
          <w:ilvl w:val="3"/>
          <w:numId w:val="15"/>
        </w:numPr>
        <w:tabs>
          <w:tab w:val="left" w:pos="1440" w:leader="none"/>
        </w:tabs>
        <w:spacing w:before="0" w:after="120"/>
        <w:ind w:hanging="360" w:start="1440" w:end="720"/>
        <w:rPr/>
      </w:pPr>
      <w:r>
        <w:rPr/>
        <w:t>All bids for the purchase of the portion of the Wholesale Business shall be subject to approval of the Court.</w:t>
      </w:r>
    </w:p>
    <w:p>
      <w:pPr>
        <w:pStyle w:val="OutlineL4"/>
        <w:numPr>
          <w:ilvl w:val="3"/>
          <w:numId w:val="15"/>
        </w:numPr>
        <w:tabs>
          <w:tab w:val="left" w:pos="1440" w:leader="none"/>
        </w:tabs>
        <w:spacing w:before="0" w:after="120"/>
        <w:ind w:hanging="360" w:start="1440" w:end="720"/>
        <w:rPr/>
      </w:pPr>
      <w:r>
        <w:rPr/>
        <w:t>No bids shall be considered by the Debtor Sellers or the Court unless a party submitted a Competing Offer in accordance with the Auction Terms and participated in the Auction.  The Debtor Sellers, in their sole and absolute discretion, may reject any Competing Offers not in conformity with the requirements of the Bankruptcy Code, the Bankruptcy Rules or the Local Bankruptcy Rules of the Court, or contrary to the best interests of the Debtor Sellers and parties in interest.</w:t>
      </w:r>
    </w:p>
    <w:p>
      <w:pPr>
        <w:pStyle w:val="OutlineL4"/>
        <w:numPr>
          <w:ilvl w:val="3"/>
          <w:numId w:val="15"/>
        </w:numPr>
        <w:tabs>
          <w:tab w:val="left" w:pos="1440" w:leader="none"/>
        </w:tabs>
        <w:spacing w:before="0" w:after="120"/>
        <w:ind w:hanging="360" w:start="1440" w:end="720"/>
        <w:rPr/>
      </w:pPr>
      <w:r>
        <w:rPr/>
        <w:t xml:space="preserve">All bids are irrevocable until the earlier to occur of: (i) the closing of the Sale Transaction, or (ii) thirty (30) days following the last date of the Auction (as may be adjourned).  </w:t>
      </w:r>
    </w:p>
    <w:p>
      <w:pPr>
        <w:pStyle w:val="OutlineL4"/>
        <w:numPr>
          <w:ilvl w:val="3"/>
          <w:numId w:val="15"/>
        </w:numPr>
        <w:tabs>
          <w:tab w:val="left" w:pos="1440" w:leader="none"/>
        </w:tabs>
        <w:spacing w:before="0" w:after="120"/>
        <w:ind w:hanging="360" w:start="1440" w:end="720"/>
        <w:rPr/>
      </w:pPr>
      <w:r>
        <w:rPr/>
        <w:t>All bids are subject to such other terms and conditions as are announced by the Debtor Sellers at the outset of the Auction.</w:t>
      </w:r>
    </w:p>
    <w:p>
      <w:pPr>
        <w:pStyle w:val="Normal"/>
        <w:rPr/>
      </w:pPr>
      <w:r>
        <w:rPr/>
      </w:r>
    </w:p>
    <w:p>
      <w:pPr>
        <w:pStyle w:val="BodyText2"/>
        <w:jc w:val="start"/>
        <w:rPr/>
      </w:pPr>
      <w:r>
        <w:rPr/>
        <w:t xml:space="preserve">ORDERED that, pursuant to Bankruptcy Rule 2002, (a) on or before December __, 2001, the Debtor Sellers shall serve a copy of the Sale Motion, this Order and the notice (the “Notice”) of the Sale Motion, the Auction and the Sale Hearing, substantially in the form annexed to the Bidding Procedures Motion as Exhibit “B”, by (1) United States Postal Service, first class delivery, upon (i) the Office of the United States Trustee, (ii) the attorneys for the Banks, (iii) all non-debtor contracting parties with respect to the Assumed Agreements, (iv) all parties who have made written expressions of interest in acquiring the Assets, (v) all appropriate federal, state and local taxing authorities, (vi) all known persons holding a lien on any of the Assets, and (vii) all parties having filed a notice of appearance in the Debtor Sellers’ chapter 11 cases and (2) electronic notification through posting on the Bankruptcy Court’s website, </w:t>
      </w:r>
      <w:hyperlink r:id="rId2">
        <w:r>
          <w:rPr>
            <w:rStyle w:val="Hyperlink"/>
          </w:rPr>
          <w:t>www.nysb.uscourts.gov</w:t>
        </w:r>
      </w:hyperlink>
      <w:r>
        <w:rPr/>
        <w:t xml:space="preserve">. and (b) on or before December __, 2001, publish the Notice once in </w:t>
      </w:r>
      <w:r>
        <w:rPr>
          <w:u w:val="single"/>
        </w:rPr>
        <w:t>The New York Times</w:t>
      </w:r>
      <w:r>
        <w:rPr/>
        <w:t xml:space="preserve"> (national edition) and </w:t>
      </w:r>
      <w:r>
        <w:rPr>
          <w:u w:val="single"/>
        </w:rPr>
        <w:t>The Wall Street Journal</w:t>
      </w:r>
      <w:r>
        <w:rPr/>
        <w:t xml:space="preserve"> (national edition), and all such service shall constitute good and sufficient notice of this Order, the Sale Motion, the Auction, the Sale Hearing and all proceedings to be held thereon; and it is further</w:t>
      </w:r>
    </w:p>
    <w:p>
      <w:pPr>
        <w:pStyle w:val="BodyText2"/>
        <w:jc w:val="start"/>
        <w:rPr/>
      </w:pPr>
      <w:r>
        <w:rPr/>
        <w:t xml:space="preserve">ORDERED that responses or objections, if any, to the relief requested in the Sale Motion must be in writing, must state the name of the objecting party, must state with particularity the reasons and basis for the objection, and be filed with the Court and served upon </w:t>
      </w:r>
      <w:r>
        <w:rPr>
          <w:rStyle w:val="PageNumber"/>
        </w:rPr>
        <w:t>(a) Weil, Gotshal &amp; Manges LLP, 767 Fifth Avenue, New York, New York 10153, Attention: Brian S. Rosen, Esq. (Facsimile: 212-310-8007), Attorneys for the Debtor Sellers; (b) Davis, Polk &amp; Wardwell, 450 Lexington Avenue, New York, New York 10017, Attention: Donald S. Bernstein, Esq. (Facsimile: 212-450-3800), Attorneys for JP Morgan Chase Bank, as Agent; (c) Shearman &amp; Sterling, 599 Lexington Avenue, New York, New York 10022, Attention: Fredric Sosnick, Esq. (Facsimile: 212-848-7179), Attorneys for Citicorp, as Agent</w:t>
      </w:r>
      <w:r>
        <w:rPr/>
        <w:t>; and (d) Milbank, Tweed, Hadley &amp; McCloy LLP, One Chase Manhattan Plaza, New York, New York 10005, Attention: Luc A. Despins, Esq., Attorneys for the Creditors’ Committee, so as to be actually received by such persons no later than January 8, 2002 at 4:00 p.m. (EST) ; and it further</w:t>
      </w:r>
    </w:p>
    <w:p>
      <w:pPr>
        <w:pStyle w:val="BodyText2"/>
        <w:jc w:val="start"/>
        <w:rPr/>
      </w:pPr>
      <w:r>
        <w:rPr/>
        <w:t xml:space="preserve">ORDERED that, notwithstanding anything contained herein to the contrary, if in the joint determination of the Debtor Sellers and the Creditors’ Committee, such parties determine that the Debtor Sellers should execute a form of the Agreements, or a variant thereof, with a potential purchaser prior to the commencement of the Auction, (a) the Debtor Sellers are hereby authorized to execute and deliver such </w:t>
      </w:r>
    </w:p>
    <w:p>
      <w:pPr>
        <w:pStyle w:val="BodyText2"/>
        <w:ind w:hanging="0" w:end="0"/>
        <w:jc w:val="start"/>
        <w:rPr/>
      </w:pPr>
      <w:r>
        <w:rPr/>
        <w:t xml:space="preserve">Agreements, subject to approval of this Court at the Sale Hearing, (b) such executed </w:t>
      </w:r>
    </w:p>
    <w:p>
      <w:pPr>
        <w:pStyle w:val="BodyText2"/>
        <w:ind w:hanging="0" w:end="0"/>
        <w:jc w:val="start"/>
        <w:rPr/>
      </w:pPr>
      <w:r>
        <w:rPr/>
        <w:t>Agreements may provide for the granting of a break-up fee in an amount to be agreed upon by the Debtor Sellers and the Creditors’ Committee and (c) in the event of such execution and delivery, the Debtor Sellers shall provide a copy thereof to each Qualified Party prior to the commencement of the Auction.</w:t>
      </w:r>
    </w:p>
    <w:p>
      <w:pPr>
        <w:pStyle w:val="Normal"/>
        <w:rPr/>
      </w:pPr>
      <w:r>
        <w:rPr/>
      </w:r>
    </w:p>
    <w:p>
      <w:pPr>
        <w:pStyle w:val="BodyText"/>
        <w:ind w:hanging="0" w:end="0"/>
        <w:rPr>
          <w:lang w:eastAsia="en-US"/>
        </w:rPr>
      </w:pPr>
      <w:r>
        <w:rPr>
          <w:lang w:eastAsia="en-US"/>
        </w:rPr>
        <w:t>Dated:</w:t>
        <w:tab/>
        <w:t>New York, New York</w:t>
        <w:br/>
        <w:tab/>
        <w:t>December ___, 2001</w:t>
      </w:r>
    </w:p>
    <w:p>
      <w:pPr>
        <w:pStyle w:val="Signature"/>
        <w:tabs>
          <w:tab w:val="clear" w:pos="720"/>
          <w:tab w:val="left" w:pos="7920" w:leader="none"/>
        </w:tabs>
        <w:spacing w:before="0" w:after="0"/>
        <w:ind w:start="3600" w:end="0"/>
        <w:rPr>
          <w:u w:val="single"/>
          <w:lang w:eastAsia="en-US"/>
        </w:rPr>
      </w:pPr>
      <w:r>
        <w:rPr>
          <w:u w:val="single"/>
          <w:lang w:eastAsia="en-US"/>
        </w:rPr>
        <w:tab/>
      </w:r>
    </w:p>
    <w:p>
      <w:pPr>
        <w:pStyle w:val="Normal"/>
        <w:rPr>
          <w:lang w:eastAsia="en-US"/>
        </w:rPr>
      </w:pPr>
      <w:r>
        <w:rPr>
          <w:lang w:eastAsia="en-US"/>
        </w:rPr>
        <w:tab/>
        <w:tab/>
        <w:tab/>
        <w:tab/>
        <w:tab/>
        <w:t>HONORABLE ARTHUR J. GONZALEZ</w:t>
      </w:r>
    </w:p>
    <w:p>
      <w:pPr>
        <w:pStyle w:val="Normal"/>
        <w:rPr>
          <w:lang w:eastAsia="en-US"/>
        </w:rPr>
      </w:pPr>
      <w:r>
        <w:rPr>
          <w:lang w:eastAsia="en-US"/>
        </w:rPr>
        <w:tab/>
        <w:tab/>
        <w:tab/>
        <w:tab/>
        <w:tab/>
        <w:t>UNITED STATES BANKRUPTCY JUDGE</w:t>
      </w:r>
    </w:p>
    <w:p>
      <w:pPr>
        <w:pStyle w:val="Normal"/>
        <w:rPr/>
      </w:pPr>
      <w:r>
        <w:rPr/>
      </w:r>
    </w:p>
    <w:p>
      <w:pPr>
        <w:pStyle w:val="Normal"/>
        <w:rPr/>
      </w:pPr>
      <w:r>
        <w:rPr/>
      </w:r>
    </w:p>
    <w:sectPr>
      <w:headerReference w:type="default" r:id="rId3"/>
      <w:headerReference w:type="first" r:id="rId4"/>
      <w:footerReference w:type="default" r:id="rId5"/>
      <w:footerReference w:type="first" r:id="rId6"/>
      <w:footnotePr>
        <w:numFmt w:val="decimal"/>
      </w:footnotePr>
      <w:type w:val="nextPage"/>
      <w:pgSz w:w="12240" w:h="15840"/>
      <w:pgMar w:left="1800" w:right="1800" w:gutter="0" w:header="432" w:top="180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EngraversGothic BT">
    <w:charset w:val="00" w:characterSet="windows-1252"/>
    <w:family w:val="swiss"/>
    <w:pitch w:val="variable"/>
  </w:font>
  <w:font w:name="Times New Roman Bold">
    <w:altName w:val="Times New Roman"/>
    <w:charset w:val="00" w:characterSet="windows-125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TrailerWGM"/>
      </w:rPr>
      <w:fldChar w:fldCharType="begin"/>
    </w:r>
    <w:r>
      <w:rPr>
        <w:rStyle w:val="TrailerWGM"/>
      </w:rPr>
      <w:instrText xml:space="preserve"> DOCPROPERTY "WGM_Trailer"</w:instrText>
    </w:r>
    <w:r>
      <w:rPr>
        <w:rStyle w:val="TrailerWGM"/>
      </w:rPr>
      <w:fldChar w:fldCharType="separate"/>
    </w:r>
    <w:r>
      <w:rPr>
        <w:rStyle w:val="TrailerWGM"/>
      </w:rPr>
      <w:t>HO1:\241851\04\56M304!.DOC\43889.0003</w:t>
    </w:r>
    <w:r>
      <w:rPr>
        <w:rStyle w:val="TrailerWGM"/>
      </w:rPr>
      <w:fldChar w:fldCharType="end"/>
    </w:r>
    <w:r>
      <w:rPr/>
      <w:tab/>
    </w: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TrailerWGM"/>
      </w:rPr>
      <w:fldChar w:fldCharType="begin"/>
    </w:r>
    <w:r>
      <w:rPr>
        <w:rStyle w:val="TrailerWGM"/>
      </w:rPr>
      <w:instrText xml:space="preserve"> DOCPROPERTY "WGM_Trailer"</w:instrText>
    </w:r>
    <w:r>
      <w:rPr>
        <w:rStyle w:val="TrailerWGM"/>
      </w:rPr>
      <w:fldChar w:fldCharType="separate"/>
    </w:r>
    <w:r>
      <w:rPr>
        <w:rStyle w:val="TrailerWGM"/>
      </w:rPr>
      <w:t>HO1:\241851\04\56M304!.DOC\43889.0003</w:t>
    </w:r>
    <w:r>
      <w:rPr>
        <w:rStyle w:val="TrailerWGM"/>
      </w:rPr>
      <w:fldChar w:fldCharType="end"/>
    </w:r>
    <w:r>
      <w:rPr/>
      <w:t xml:space="preserve"> </w: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spacing w:before="0" w:after="240"/>
        <w:rPr/>
      </w:pPr>
      <w:r>
        <w:rPr>
          <w:rStyle w:val="FootnoteCharacters"/>
        </w:rPr>
        <w:footnoteRef/>
      </w:r>
      <w:r>
        <w:rPr/>
        <w:t xml:space="preserve"> </w:t>
      </w:r>
      <w:r>
        <w:rPr/>
        <w:t>Unless otherwise defined herein, capitalized terms used herein shall have the meanings ascribed thereto in the Bidding Procedures Motion.</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
      <w:lvlJc w:val="start"/>
      <w:pPr>
        <w:tabs>
          <w:tab w:val="num" w:pos="720"/>
        </w:tabs>
        <w:ind w:start="720" w:hanging="360"/>
      </w:pPr>
    </w:lvl>
  </w:abstractNum>
  <w:abstractNum w:abstractNumId="6">
    <w:lvl w:ilvl="0">
      <w:start w:val="1"/>
      <w:numFmt w:val="bullet"/>
      <w:lvlText w:val=""/>
      <w:lvlJc w:val="start"/>
      <w:pPr>
        <w:tabs>
          <w:tab w:val="num" w:pos="1800"/>
        </w:tabs>
        <w:ind w:start="1800" w:hanging="360"/>
      </w:pPr>
      <w:rPr>
        <w:rFonts w:ascii="Symbol" w:hAnsi="Symbol" w:cs="Symbol" w:hint="default"/>
      </w:rPr>
    </w:lvl>
  </w:abstractNum>
  <w:abstractNum w:abstractNumId="7">
    <w:lvl w:ilvl="0">
      <w:start w:val="1"/>
      <w:numFmt w:val="bullet"/>
      <w:lvlText w:val=""/>
      <w:lvlJc w:val="start"/>
      <w:pPr>
        <w:tabs>
          <w:tab w:val="num" w:pos="1440"/>
        </w:tabs>
        <w:ind w:start="1440" w:hanging="360"/>
      </w:pPr>
      <w:rPr>
        <w:rFonts w:ascii="Symbol" w:hAnsi="Symbol" w:cs="Symbol" w:hint="default"/>
      </w:rPr>
    </w:lvl>
  </w:abstractNum>
  <w:abstractNum w:abstractNumId="8">
    <w:lvl w:ilvl="0">
      <w:start w:val="1"/>
      <w:numFmt w:val="bullet"/>
      <w:lvlText w:val=""/>
      <w:lvlJc w:val="start"/>
      <w:pPr>
        <w:tabs>
          <w:tab w:val="num" w:pos="1080"/>
        </w:tabs>
        <w:ind w:start="1080" w:hanging="360"/>
      </w:pPr>
      <w:rPr>
        <w:rFonts w:ascii="Symbol" w:hAnsi="Symbol" w:cs="Symbol" w:hint="default"/>
      </w:rPr>
    </w:lvl>
  </w:abstractNum>
  <w:abstractNum w:abstractNumId="9">
    <w:lvl w:ilvl="0">
      <w:start w:val="1"/>
      <w:numFmt w:val="bullet"/>
      <w:lvlText w:val=""/>
      <w:lvlJc w:val="start"/>
      <w:pPr>
        <w:tabs>
          <w:tab w:val="num" w:pos="720"/>
        </w:tabs>
        <w:ind w:start="720" w:hanging="360"/>
      </w:pPr>
      <w:rPr>
        <w:rFonts w:ascii="Symbol" w:hAnsi="Symbol" w:cs="Symbol" w:hint="default"/>
      </w:rPr>
    </w:lvl>
  </w:abstractNum>
  <w:abstractNum w:abstractNumId="10">
    <w:lvl w:ilvl="0">
      <w:start w:val="1"/>
      <w:numFmt w:val="decimal"/>
      <w:lvlText w:val="%1."/>
      <w:lvlJc w:val="start"/>
      <w:pPr>
        <w:tabs>
          <w:tab w:val="num" w:pos="360"/>
        </w:tabs>
        <w:ind w:start="360" w:hanging="360"/>
      </w:p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
      <w:numFmt w:val="upperLetter"/>
      <w:lvlText w:val="%1."/>
      <w:lvlJc w:val="start"/>
      <w:pPr>
        <w:tabs>
          <w:tab w:val="num" w:pos="360"/>
        </w:tabs>
        <w:ind w:start="360" w:hanging="360"/>
      </w:pPr>
    </w:lvl>
  </w:abstractNum>
  <w:abstractNum w:abstractNumId="13">
    <w:lvl w:ilvl="0">
      <w:start w:val="1"/>
      <w:numFmt w:val="upperLetter"/>
      <w:lvlText w:val="%1."/>
      <w:lvlJc w:val="start"/>
      <w:pPr>
        <w:tabs>
          <w:tab w:val="num" w:pos="360"/>
        </w:tabs>
        <w:ind w:start="360" w:hanging="360"/>
      </w:pPr>
    </w:lvl>
  </w:abstractNum>
  <w:abstractNum w:abstractNumId="14">
    <w:lvl w:ilvl="0">
      <w:start w:val="1"/>
      <w:numFmt w:val="upperLetter"/>
      <w:lvlText w:val="%1."/>
      <w:lvlJc w:val="start"/>
      <w:pPr>
        <w:tabs>
          <w:tab w:val="num" w:pos="360"/>
        </w:tabs>
        <w:ind w:start="360" w:hanging="360"/>
      </w:pPr>
    </w:lvl>
  </w:abstractNum>
  <w:abstractNum w:abstractNumId="15">
    <w:lvl w:ilvl="0">
      <w:start w:val="1"/>
      <w:numFmt w:val="lowerLetter"/>
      <w:lvlText w:val="%1."/>
      <w:lvlJc w:val="start"/>
      <w:pPr>
        <w:tabs>
          <w:tab w:val="num" w:pos="2160"/>
        </w:tabs>
        <w:ind w:start="2160" w:hanging="720"/>
      </w:pPr>
      <w:rPr>
        <w:caps/>
        <w:outline w:val="false"/>
        <w:dstrike w:val="false"/>
        <w:strike w:val="false"/>
        <w:vertAlign w:val="baseline"/>
        <w:position w:val="0"/>
        <w:sz w:val="24"/>
        <w:i w:val="false"/>
        <w:shadow w:val="false"/>
        <w:u w:val="none"/>
        <w:b w:val="false"/>
        <w:vanish w:val="false"/>
        <w:color w:val="auto"/>
      </w:rPr>
    </w:lvl>
    <w:lvl w:ilvl="1">
      <w:start w:val="1"/>
      <w:numFmt w:val="decimal"/>
      <w:lvlText w:val="%2."/>
      <w:lvlJc w:val="start"/>
      <w:pPr>
        <w:tabs>
          <w:tab w:val="num" w:pos="1800"/>
        </w:tabs>
        <w:ind w:start="0" w:firstLine="1440"/>
      </w:pPr>
      <w:rPr>
        <w:smallCaps w:val="false"/>
        <w:caps w:val="false"/>
        <w:outline w:val="false"/>
        <w:dstrike w:val="false"/>
        <w:strike w:val="false"/>
        <w:vertAlign w:val="baseline"/>
        <w:position w:val="0"/>
        <w:sz w:val="24"/>
        <w:i w:val="false"/>
        <w:shadow w:val="false"/>
        <w:u w:val="none"/>
        <w:b w:val="false"/>
        <w:vanish w:val="false"/>
        <w:color w:val="auto"/>
      </w:rPr>
    </w:lvl>
    <w:lvl w:ilvl="2">
      <w:start w:val="1"/>
      <w:numFmt w:val="decimal"/>
      <w:lvlText w:val="%3."/>
      <w:lvlJc w:val="start"/>
      <w:pPr>
        <w:tabs>
          <w:tab w:val="num" w:pos="1800"/>
        </w:tabs>
        <w:ind w:start="0" w:firstLine="1440"/>
      </w:pPr>
      <w:rPr>
        <w:smallCaps w:val="false"/>
        <w:caps w:val="false"/>
        <w:outline w:val="false"/>
        <w:dstrike w:val="false"/>
        <w:strike w:val="false"/>
        <w:vertAlign w:val="baseline"/>
        <w:position w:val="0"/>
        <w:sz w:val="24"/>
        <w:i w:val="false"/>
        <w:shadow w:val="false"/>
        <w:u w:val="none"/>
        <w:b w:val="false"/>
        <w:vanish w:val="false"/>
        <w:color w:val="auto"/>
      </w:rPr>
    </w:lvl>
    <w:lvl w:ilvl="3">
      <w:start w:val="1"/>
      <w:numFmt w:val="lowerLetter"/>
      <w:lvlText w:val="%4."/>
      <w:lvlJc w:val="start"/>
      <w:pPr>
        <w:tabs>
          <w:tab w:val="num" w:pos="2520"/>
        </w:tabs>
        <w:ind w:start="0" w:firstLine="2160"/>
      </w:pPr>
      <w:rPr>
        <w:smallCaps w:val="false"/>
        <w:caps w:val="false"/>
        <w:outline w:val="false"/>
        <w:dstrike w:val="false"/>
        <w:strike w:val="false"/>
        <w:vertAlign w:val="baseline"/>
        <w:position w:val="0"/>
        <w:sz w:val="24"/>
        <w:i w:val="false"/>
        <w:shadow w:val="false"/>
        <w:u w:val="none"/>
        <w:b w:val="false"/>
        <w:vanish w:val="false"/>
        <w:color w:val="auto"/>
      </w:rPr>
    </w:lvl>
    <w:lvl w:ilvl="4">
      <w:start w:val="1"/>
      <w:numFmt w:val="lowerRoman"/>
      <w:lvlText w:val="(%5)"/>
      <w:lvlJc w:val="start"/>
      <w:pPr>
        <w:tabs>
          <w:tab w:val="num" w:pos="3600"/>
        </w:tabs>
        <w:ind w:start="0" w:firstLine="2880"/>
      </w:pPr>
      <w:rPr>
        <w:smallCaps w:val="false"/>
        <w:caps w:val="false"/>
        <w:outline w:val="false"/>
        <w:dstrike w:val="false"/>
        <w:strike w:val="false"/>
        <w:vertAlign w:val="baseline"/>
        <w:position w:val="0"/>
        <w:sz w:val="24"/>
        <w:i w:val="false"/>
        <w:shadow w:val="false"/>
        <w:u w:val="none"/>
        <w:b w:val="false"/>
        <w:vanish w:val="false"/>
        <w:color w:val="auto"/>
      </w:rPr>
    </w:lvl>
    <w:lvl w:ilvl="5">
      <w:start w:val="1"/>
      <w:numFmt w:val="lowerLetter"/>
      <w:lvlText w:val="(%6)"/>
      <w:lvlJc w:val="start"/>
      <w:pPr>
        <w:tabs>
          <w:tab w:val="num" w:pos="3960"/>
        </w:tabs>
        <w:ind w:start="0" w:firstLine="3600"/>
      </w:pPr>
      <w:rPr>
        <w:smallCaps w:val="false"/>
        <w:caps w:val="false"/>
        <w:outline w:val="false"/>
        <w:dstrike w:val="false"/>
        <w:strike w:val="false"/>
        <w:vertAlign w:val="baseline"/>
        <w:position w:val="0"/>
        <w:sz w:val="24"/>
        <w:i w:val="false"/>
        <w:shadow w:val="false"/>
        <w:u w:val="none"/>
        <w:b w:val="false"/>
        <w:vanish w:val="false"/>
        <w:color w:val="auto"/>
      </w:rPr>
    </w:lvl>
    <w:lvl w:ilvl="6">
      <w:start w:val="1"/>
      <w:numFmt w:val="decimal"/>
      <w:lvlText w:val="(%7)"/>
      <w:lvlJc w:val="start"/>
      <w:pPr>
        <w:tabs>
          <w:tab w:val="num" w:pos="4680"/>
        </w:tabs>
        <w:ind w:start="0" w:firstLine="4320"/>
      </w:pPr>
      <w:rPr>
        <w:smallCaps w:val="false"/>
        <w:caps w:val="false"/>
        <w:outline w:val="false"/>
        <w:dstrike w:val="false"/>
        <w:strike w:val="false"/>
        <w:vertAlign w:val="baseline"/>
        <w:position w:val="0"/>
        <w:sz w:val="24"/>
        <w:i w:val="false"/>
        <w:shadow w:val="false"/>
        <w:u w:val="none"/>
        <w:b w:val="false"/>
        <w:vanish w:val="false"/>
        <w:color w:val="auto"/>
      </w:rPr>
    </w:lvl>
    <w:lvl w:ilvl="7">
      <w:start w:val="1"/>
      <w:numFmt w:val="lowerRoman"/>
      <w:lvlText w:val="%8)"/>
      <w:lvlJc w:val="start"/>
      <w:pPr>
        <w:tabs>
          <w:tab w:val="num" w:pos="5760"/>
        </w:tabs>
        <w:ind w:start="0" w:firstLine="5040"/>
      </w:pPr>
      <w:rPr>
        <w:smallCaps w:val="false"/>
        <w:caps w:val="false"/>
        <w:outline w:val="false"/>
        <w:dstrike w:val="false"/>
        <w:strike w:val="false"/>
        <w:vertAlign w:val="baseline"/>
        <w:position w:val="0"/>
        <w:sz w:val="24"/>
        <w:i w:val="false"/>
        <w:shadow w:val="false"/>
        <w:u w:val="none"/>
        <w:b w:val="false"/>
        <w:vanish w:val="false"/>
        <w:color w:val="auto"/>
      </w:rPr>
    </w:lvl>
    <w:lvl w:ilvl="8">
      <w:start w:val="1"/>
      <w:numFmt w:val="lowerLetter"/>
      <w:lvlText w:val="%9)"/>
      <w:lvlJc w:val="start"/>
      <w:pPr>
        <w:tabs>
          <w:tab w:val="num" w:pos="6120"/>
        </w:tabs>
        <w:ind w:start="0" w:firstLine="5760"/>
      </w:pPr>
      <w:rPr>
        <w:smallCaps w:val="false"/>
        <w:caps w:val="false"/>
        <w:outline w:val="false"/>
        <w:dstrike w:val="false"/>
        <w:strike w:val="false"/>
        <w:vertAlign w:val="baseline"/>
        <w:position w:val="0"/>
        <w:sz w:val="24"/>
        <w:i w:val="false"/>
        <w:shadow w:val="false"/>
        <w:u w:val="none"/>
        <w:b w:val="false"/>
        <w:vanish w:val="false"/>
        <w:color w:val="auto"/>
      </w:rPr>
    </w:lvl>
  </w:abstractNum>
  <w:abstractNum w:abstractNumId="16">
    <w:lvl w:ilvl="0">
      <w:start w:val="1"/>
      <w:numFmt w:val="upperLetter"/>
      <w:lvlText w:val="%1."/>
      <w:lvlJc w:val="start"/>
      <w:pPr>
        <w:tabs>
          <w:tab w:val="num" w:pos="360"/>
        </w:tabs>
        <w:ind w:start="360" w:hanging="360"/>
      </w:pPr>
    </w:lvl>
  </w:abstractNum>
  <w:abstractNum w:abstractNumId="17">
    <w:lvl w:ilvl="0">
      <w:start w:val="1"/>
      <w:numFmt w:val="upperLetter"/>
      <w:lvlText w:val="%1."/>
      <w:lvlJc w:val="start"/>
      <w:pPr>
        <w:tabs>
          <w:tab w:val="num" w:pos="360"/>
        </w:tabs>
        <w:ind w:start="36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spacing w:before="240" w:after="60"/>
      <w:outlineLvl w:val="0"/>
    </w:pPr>
    <w:rPr>
      <w:b/>
      <w:kern w:val="2"/>
      <w:sz w:val="28"/>
    </w:rPr>
  </w:style>
  <w:style w:type="paragraph" w:styleId="Heading2">
    <w:name w:val="heading 2"/>
    <w:basedOn w:val="Normal"/>
    <w:next w:val="Normal"/>
    <w:qFormat/>
    <w:pPr>
      <w:keepNext w:val="true"/>
      <w:numPr>
        <w:ilvl w:val="1"/>
        <w:numId w:val="1"/>
      </w:numPr>
      <w:spacing w:before="240" w:after="60"/>
      <w:outlineLvl w:val="1"/>
    </w:pPr>
    <w:rPr>
      <w:b/>
      <w:i/>
    </w:rPr>
  </w:style>
  <w:style w:type="paragraph" w:styleId="Heading3">
    <w:name w:val="heading 3"/>
    <w:basedOn w:val="Normal"/>
    <w:next w:val="Normal"/>
    <w:qFormat/>
    <w:pPr>
      <w:keepNext w:val="true"/>
      <w:numPr>
        <w:ilvl w:val="2"/>
        <w:numId w:val="1"/>
      </w:numPr>
      <w:spacing w:before="240" w:after="60"/>
      <w:outlineLvl w:val="2"/>
    </w:pPr>
    <w:rPr/>
  </w:style>
  <w:style w:type="paragraph" w:styleId="Heading4">
    <w:name w:val="heading 4"/>
    <w:basedOn w:val="Normal"/>
    <w:next w:val="Normal"/>
    <w:qFormat/>
    <w:pPr>
      <w:keepNext w:val="true"/>
      <w:numPr>
        <w:ilvl w:val="3"/>
        <w:numId w:val="1"/>
      </w:numPr>
      <w:spacing w:before="240" w:after="60"/>
      <w:outlineLvl w:val="3"/>
    </w:pPr>
    <w:rPr>
      <w:b/>
    </w:rPr>
  </w:style>
  <w:style w:type="paragraph" w:styleId="Heading7">
    <w:name w:val="heading 7"/>
    <w:basedOn w:val="Normal"/>
    <w:next w:val="Normal"/>
    <w:qFormat/>
    <w:pPr>
      <w:numPr>
        <w:ilvl w:val="6"/>
        <w:numId w:val="1"/>
      </w:numPr>
      <w:spacing w:before="240" w:after="60"/>
      <w:outlineLvl w:val="6"/>
    </w:pPr>
    <w:rPr>
      <w:sz w:val="20"/>
    </w:rPr>
  </w:style>
  <w:style w:type="paragraph" w:styleId="Heading8">
    <w:name w:val="heading 8"/>
    <w:basedOn w:val="Normal"/>
    <w:next w:val="Normal"/>
    <w:qFormat/>
    <w:pPr>
      <w:numPr>
        <w:ilvl w:val="7"/>
        <w:numId w:val="1"/>
      </w:numPr>
      <w:spacing w:before="240" w:after="60"/>
      <w:outlineLvl w:val="7"/>
    </w:pPr>
    <w:rPr>
      <w:i/>
      <w:sz w:val="20"/>
    </w:rPr>
  </w:style>
  <w:style w:type="paragraph" w:styleId="Heading9">
    <w:name w:val="heading 9"/>
    <w:basedOn w:val="Normal"/>
    <w:next w:val="Normal"/>
    <w:qFormat/>
    <w:pPr>
      <w:numPr>
        <w:ilvl w:val="8"/>
        <w:numId w:val="1"/>
      </w:numPr>
      <w:spacing w:before="240" w:after="60"/>
      <w:outlineLvl w:val="8"/>
    </w:pPr>
    <w:rPr>
      <w:b/>
      <w:i/>
      <w:sz w:val="18"/>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WW8Num17z0">
    <w:name w:val="WW8Num17z0"/>
    <w:qFormat/>
    <w:rPr>
      <w:b w:val="false"/>
      <w:i w:val="false"/>
      <w:caps/>
      <w:strike w:val="false"/>
      <w:dstrike w:val="false"/>
      <w:outline w:val="false"/>
      <w:shadow w:val="false"/>
      <w:vanish w:val="false"/>
      <w:color w:val="auto"/>
      <w:position w:val="0"/>
      <w:sz w:val="24"/>
      <w:u w:val="none"/>
      <w:vertAlign w:val="baseline"/>
    </w:rPr>
  </w:style>
  <w:style w:type="character" w:styleId="WW8Num17z1">
    <w:name w:val="WW8Num17z1"/>
    <w:qFormat/>
    <w:rPr>
      <w:b w:val="false"/>
      <w:i w:val="false"/>
      <w:caps w:val="false"/>
      <w:smallCaps w:val="false"/>
      <w:strike w:val="false"/>
      <w:dstrike w:val="false"/>
      <w:outline w:val="false"/>
      <w:shadow w:val="false"/>
      <w:vanish w:val="false"/>
      <w:color w:val="auto"/>
      <w:position w:val="0"/>
      <w:sz w:val="24"/>
      <w:u w:val="none"/>
      <w:vertAlign w:val="baseline"/>
    </w:rPr>
  </w:style>
  <w:style w:type="character" w:styleId="WW8Num19z0">
    <w:name w:val="WW8Num19z0"/>
    <w:qFormat/>
    <w:rPr>
      <w:rFonts w:ascii="Symbol" w:hAnsi="Symbol" w:cs="Symbol"/>
    </w:rPr>
  </w:style>
  <w:style w:type="character" w:styleId="WW8Num22z0">
    <w:name w:val="WW8Num22z0"/>
    <w:qFormat/>
    <w:rPr>
      <w:rFonts w:ascii="Symbol" w:hAnsi="Symbol" w:cs="Symbol"/>
    </w:rPr>
  </w:style>
  <w:style w:type="character" w:styleId="DefaultParagraphFont">
    <w:name w:val="Default Paragraph Font"/>
    <w:qFormat/>
    <w:rPr/>
  </w:style>
  <w:style w:type="character" w:styleId="TrailerWGM">
    <w:name w:val="Trailer WGM"/>
    <w:basedOn w:val="DefaultParagraphFont"/>
    <w:qFormat/>
    <w:rPr>
      <w:caps/>
      <w:sz w:val="14"/>
    </w:rPr>
  </w:style>
  <w:style w:type="character" w:styleId="FootnoteCharacters">
    <w:name w:val="Footnote Characters"/>
    <w:basedOn w:val="DefaultParagraphFont"/>
    <w:qFormat/>
    <w:rPr>
      <w:vertAlign w:val="superscript"/>
    </w:rPr>
  </w:style>
  <w:style w:type="character" w:styleId="FollowedHyperlink">
    <w:name w:val="FollowedHyperlink"/>
    <w:basedOn w:val="DefaultParagraphFont"/>
    <w:rPr>
      <w:rFonts w:ascii="Times New Roman" w:hAnsi="Times New Roman" w:cs="Times New Roman"/>
      <w:color w:val="0000FF"/>
      <w:sz w:val="24"/>
      <w:u w:val="single"/>
    </w:rPr>
  </w:style>
  <w:style w:type="character" w:styleId="PageNumber">
    <w:name w:val="page number"/>
    <w:basedOn w:val="DefaultParagraphFont"/>
    <w:rPr/>
  </w:style>
  <w:style w:type="character" w:styleId="Hyperlink">
    <w:name w:val="Hyperlink"/>
    <w:basedOn w:val="DefaultParagraphFont"/>
    <w:rPr>
      <w:color w:val="0000FF"/>
      <w:u w:val="single"/>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0" w:after="240"/>
      <w:jc w:val="center"/>
      <w:outlineLvl w:val="0"/>
    </w:pPr>
    <w:rPr>
      <w:b/>
    </w:rPr>
  </w:style>
  <w:style w:type="paragraph" w:styleId="BodyText">
    <w:name w:val="Body Text"/>
    <w:basedOn w:val="Normal"/>
    <w:pPr>
      <w:spacing w:before="0" w:after="240"/>
      <w:ind w:firstLine="1440" w:start="0" w:end="0"/>
    </w:pPr>
    <w:rPr/>
  </w:style>
  <w:style w:type="paragraph" w:styleId="List">
    <w:name w:val="List"/>
    <w:basedOn w:val="Normal"/>
    <w:pPr>
      <w:numPr>
        <w:ilvl w:val="0"/>
        <w:numId w:val="12"/>
      </w:numPr>
      <w:tabs>
        <w:tab w:val="clear" w:pos="720"/>
      </w:tabs>
      <w:spacing w:before="0" w:after="240"/>
      <w:ind w:hanging="720" w:start="720" w:end="0"/>
    </w:pPr>
    <w:rPr/>
  </w:style>
  <w:style w:type="paragraph" w:styleId="Caption">
    <w:name w:val="caption"/>
    <w:basedOn w:val="Normal"/>
    <w:next w:val="Normal"/>
    <w:qFormat/>
    <w:pPr>
      <w:spacing w:before="120" w:after="120"/>
    </w:pPr>
    <w:rPr>
      <w:b/>
    </w:rPr>
  </w:style>
  <w:style w:type="paragraph" w:styleId="Index">
    <w:name w:val="Index"/>
    <w:basedOn w:val="Normal"/>
    <w:qFormat/>
    <w:pPr>
      <w:suppressLineNumbers/>
    </w:pPr>
    <w:rPr>
      <w:rFonts w:cs="NotoSans NF"/>
    </w:rPr>
  </w:style>
  <w:style w:type="paragraph" w:styleId="BlockTextTab">
    <w:name w:val="Block Text Tab"/>
    <w:basedOn w:val="Normal"/>
    <w:qFormat/>
    <w:pPr>
      <w:spacing w:before="0" w:after="240"/>
      <w:ind w:firstLine="720" w:start="1440" w:end="1440"/>
    </w:pPr>
    <w:rPr/>
  </w:style>
  <w:style w:type="paragraph" w:styleId="BlockText">
    <w:name w:val="Block Text"/>
    <w:basedOn w:val="Normal"/>
    <w:qFormat/>
    <w:pPr>
      <w:spacing w:before="0" w:after="240"/>
      <w:ind w:hanging="0" w:start="1440" w:end="1440"/>
    </w:pPr>
    <w:rPr/>
  </w:style>
  <w:style w:type="paragraph" w:styleId="BodyText2">
    <w:name w:val="Body Text 2"/>
    <w:basedOn w:val="Normal"/>
    <w:qFormat/>
    <w:pPr>
      <w:spacing w:lineRule="auto" w:line="480"/>
      <w:ind w:firstLine="1440" w:start="0" w:end="0"/>
      <w:jc w:val="both"/>
    </w:pPr>
    <w:rPr/>
  </w:style>
  <w:style w:type="paragraph" w:styleId="BodyText3">
    <w:name w:val="Body Text 3"/>
    <w:basedOn w:val="Normal"/>
    <w:qFormat/>
    <w:pPr>
      <w:spacing w:before="0" w:after="240"/>
    </w:pPr>
    <w:rPr/>
  </w:style>
  <w:style w:type="paragraph" w:styleId="BodyTextIndent">
    <w:name w:val="Body Text Indent"/>
    <w:basedOn w:val="Normal"/>
    <w:pPr>
      <w:spacing w:before="0" w:after="240"/>
      <w:ind w:hanging="0" w:start="1440" w:end="0"/>
    </w:pPr>
    <w:rPr/>
  </w:style>
  <w:style w:type="paragraph" w:styleId="BodyTextFirstIndent2">
    <w:name w:val="Body Text First Indent 2"/>
    <w:basedOn w:val="Normal"/>
    <w:qFormat/>
    <w:pPr>
      <w:spacing w:lineRule="auto" w:line="480"/>
      <w:ind w:firstLine="720" w:start="1440" w:end="0"/>
    </w:pPr>
    <w:rPr/>
  </w:style>
  <w:style w:type="paragraph" w:styleId="BodyTextFirstIndent">
    <w:name w:val="Body Text First Indent"/>
    <w:basedOn w:val="Normal"/>
    <w:qFormat/>
    <w:pPr>
      <w:spacing w:before="0" w:after="240"/>
      <w:ind w:firstLine="720" w:start="1440" w:end="0"/>
    </w:pPr>
    <w:rPr/>
  </w:style>
  <w:style w:type="paragraph" w:styleId="BodyTextIndent2">
    <w:name w:val="Body Text Indent 2"/>
    <w:basedOn w:val="Normal"/>
    <w:qFormat/>
    <w:pPr>
      <w:spacing w:lineRule="auto" w:line="480"/>
      <w:ind w:hanging="0" w:start="1440" w:end="0"/>
    </w:pPr>
    <w:rPr/>
  </w:style>
  <w:style w:type="paragraph" w:styleId="BodyTextIndent3">
    <w:name w:val="Body Text Indent 3"/>
    <w:basedOn w:val="Normal"/>
    <w:qFormat/>
    <w:pPr>
      <w:tabs>
        <w:tab w:val="clear" w:pos="720"/>
        <w:tab w:val="left" w:pos="4320" w:leader="none"/>
      </w:tabs>
      <w:spacing w:before="0" w:after="240"/>
      <w:ind w:hanging="4320" w:start="4320" w:end="0"/>
    </w:pPr>
    <w:rPr/>
  </w:style>
  <w:style w:type="paragraph" w:styleId="EndnoteText">
    <w:name w:val="endnote text"/>
    <w:basedOn w:val="Normal"/>
    <w:pPr>
      <w:spacing w:before="0" w:after="240"/>
    </w:pPr>
    <w:rPr>
      <w:sz w:val="24"/>
    </w:rPr>
  </w:style>
  <w:style w:type="paragraph" w:styleId="FootnoteText">
    <w:name w:val="footnote text"/>
    <w:basedOn w:val="Normal"/>
    <w:pPr>
      <w:spacing w:before="0" w:after="240"/>
    </w:pPr>
    <w:rPr>
      <w:sz w:val="24"/>
    </w:rPr>
  </w:style>
  <w:style w:type="paragraph" w:styleId="ListBullet2">
    <w:name w:val="List Bullet 2"/>
    <w:basedOn w:val="List"/>
    <w:pPr>
      <w:spacing w:before="0" w:after="120"/>
      <w:ind w:hanging="360" w:start="720"/>
    </w:pPr>
    <w:rPr/>
  </w:style>
  <w:style w:type="paragraph" w:styleId="WW-List2">
    <w:name w:val="WW-List 2"/>
    <w:basedOn w:val="Normal"/>
    <w:qFormat/>
    <w:pPr>
      <w:numPr>
        <w:ilvl w:val="0"/>
        <w:numId w:val="17"/>
      </w:numPr>
      <w:tabs>
        <w:tab w:val="clear" w:pos="720"/>
      </w:tabs>
      <w:spacing w:before="0" w:after="240"/>
      <w:ind w:hanging="720" w:start="1440" w:end="0"/>
    </w:pPr>
    <w:rPr/>
  </w:style>
  <w:style w:type="paragraph" w:styleId="ListBullet3">
    <w:name w:val="List Bullet 3"/>
    <w:basedOn w:val="List"/>
    <w:pPr>
      <w:spacing w:before="0" w:after="120"/>
      <w:ind w:hanging="360" w:start="1080"/>
    </w:pPr>
    <w:rPr/>
  </w:style>
  <w:style w:type="paragraph" w:styleId="WW-List3">
    <w:name w:val="WW-List 3"/>
    <w:basedOn w:val="Normal"/>
    <w:qFormat/>
    <w:pPr>
      <w:numPr>
        <w:ilvl w:val="0"/>
        <w:numId w:val="14"/>
      </w:numPr>
      <w:tabs>
        <w:tab w:val="clear" w:pos="720"/>
      </w:tabs>
      <w:spacing w:before="0" w:after="240"/>
      <w:ind w:hanging="720" w:start="2160" w:end="0"/>
    </w:pPr>
    <w:rPr/>
  </w:style>
  <w:style w:type="paragraph" w:styleId="ListBullet4">
    <w:name w:val="List Bullet 4"/>
    <w:basedOn w:val="List"/>
    <w:pPr>
      <w:spacing w:before="0" w:after="120"/>
      <w:ind w:hanging="360" w:start="1440"/>
    </w:pPr>
    <w:rPr/>
  </w:style>
  <w:style w:type="paragraph" w:styleId="WW-List4">
    <w:name w:val="WW-List 4"/>
    <w:basedOn w:val="Normal"/>
    <w:qFormat/>
    <w:pPr>
      <w:numPr>
        <w:ilvl w:val="0"/>
        <w:numId w:val="16"/>
      </w:numPr>
      <w:tabs>
        <w:tab w:val="clear" w:pos="720"/>
      </w:tabs>
      <w:spacing w:before="0" w:after="240"/>
      <w:ind w:hanging="720" w:start="2880" w:end="0"/>
    </w:pPr>
    <w:rPr/>
  </w:style>
  <w:style w:type="paragraph" w:styleId="ListBullet5">
    <w:name w:val="List Bullet 5"/>
    <w:basedOn w:val="List"/>
    <w:pPr>
      <w:spacing w:before="0" w:after="120"/>
      <w:ind w:hanging="360" w:start="1800"/>
    </w:pPr>
    <w:rPr/>
  </w:style>
  <w:style w:type="paragraph" w:styleId="WW-List5">
    <w:name w:val="WW-List 5"/>
    <w:basedOn w:val="Normal"/>
    <w:qFormat/>
    <w:pPr>
      <w:numPr>
        <w:ilvl w:val="0"/>
        <w:numId w:val="13"/>
      </w:numPr>
      <w:tabs>
        <w:tab w:val="clear" w:pos="720"/>
      </w:tabs>
      <w:spacing w:before="0" w:after="240"/>
      <w:ind w:hanging="720" w:start="3600" w:end="0"/>
    </w:pPr>
    <w:rPr/>
  </w:style>
  <w:style w:type="paragraph" w:styleId="ListBullet31">
    <w:name w:val="List Bullet 31"/>
    <w:basedOn w:val="Normal"/>
    <w:qFormat/>
    <w:pPr>
      <w:numPr>
        <w:ilvl w:val="0"/>
        <w:numId w:val="8"/>
      </w:numPr>
      <w:tabs>
        <w:tab w:val="clear" w:pos="720"/>
      </w:tabs>
      <w:spacing w:before="0" w:after="240"/>
      <w:ind w:hanging="720" w:start="2160" w:end="0"/>
    </w:pPr>
    <w:rPr/>
  </w:style>
  <w:style w:type="paragraph" w:styleId="ListBullet41">
    <w:name w:val="List Bullet 41"/>
    <w:basedOn w:val="Normal"/>
    <w:qFormat/>
    <w:pPr>
      <w:numPr>
        <w:ilvl w:val="0"/>
        <w:numId w:val="7"/>
      </w:numPr>
      <w:tabs>
        <w:tab w:val="clear" w:pos="720"/>
      </w:tabs>
      <w:spacing w:before="0" w:after="240"/>
      <w:ind w:hanging="720" w:start="2880" w:end="0"/>
    </w:pPr>
    <w:rPr/>
  </w:style>
  <w:style w:type="paragraph" w:styleId="ListBullet51">
    <w:name w:val="List Bullet 51"/>
    <w:basedOn w:val="Normal"/>
    <w:qFormat/>
    <w:pPr>
      <w:numPr>
        <w:ilvl w:val="0"/>
        <w:numId w:val="6"/>
      </w:numPr>
      <w:tabs>
        <w:tab w:val="clear" w:pos="720"/>
      </w:tabs>
      <w:spacing w:before="0" w:after="240"/>
      <w:ind w:hanging="720" w:start="3600" w:end="0"/>
    </w:pPr>
    <w:rPr/>
  </w:style>
  <w:style w:type="paragraph" w:styleId="ListBullet">
    <w:name w:val="List Bullet"/>
    <w:basedOn w:val="Normal"/>
    <w:qFormat/>
    <w:pPr>
      <w:numPr>
        <w:ilvl w:val="0"/>
        <w:numId w:val="11"/>
      </w:numPr>
      <w:tabs>
        <w:tab w:val="clear" w:pos="720"/>
      </w:tabs>
      <w:spacing w:before="0" w:after="240"/>
      <w:ind w:hanging="720" w:start="720" w:end="0"/>
    </w:pPr>
    <w:rPr/>
  </w:style>
  <w:style w:type="paragraph" w:styleId="ListContinue2">
    <w:name w:val="List Continue 2"/>
    <w:basedOn w:val="Normal"/>
    <w:qFormat/>
    <w:pPr>
      <w:spacing w:before="0" w:after="240"/>
      <w:ind w:hanging="0" w:start="1440" w:end="0"/>
    </w:pPr>
    <w:rPr/>
  </w:style>
  <w:style w:type="paragraph" w:styleId="ListContinue3">
    <w:name w:val="List Continue 3"/>
    <w:basedOn w:val="Normal"/>
    <w:qFormat/>
    <w:pPr>
      <w:spacing w:before="0" w:after="240"/>
      <w:ind w:hanging="0" w:start="2160" w:end="0"/>
    </w:pPr>
    <w:rPr/>
  </w:style>
  <w:style w:type="paragraph" w:styleId="ListContinue4">
    <w:name w:val="List Continue 4"/>
    <w:basedOn w:val="Normal"/>
    <w:qFormat/>
    <w:pPr>
      <w:spacing w:before="0" w:after="240"/>
      <w:ind w:hanging="0" w:start="2880" w:end="0"/>
    </w:pPr>
    <w:rPr/>
  </w:style>
  <w:style w:type="paragraph" w:styleId="ListContinue5">
    <w:name w:val="List Continue 5"/>
    <w:basedOn w:val="Normal"/>
    <w:qFormat/>
    <w:pPr>
      <w:spacing w:before="0" w:after="240"/>
      <w:ind w:hanging="0" w:start="3600" w:end="0"/>
    </w:pPr>
    <w:rPr/>
  </w:style>
  <w:style w:type="paragraph" w:styleId="ListContinue">
    <w:name w:val="List Continue"/>
    <w:basedOn w:val="Normal"/>
    <w:qFormat/>
    <w:pPr>
      <w:spacing w:before="0" w:after="240"/>
      <w:ind w:hanging="0" w:start="720" w:end="0"/>
    </w:pPr>
    <w:rPr/>
  </w:style>
  <w:style w:type="paragraph" w:styleId="ListNumber2">
    <w:name w:val="List Number 2"/>
    <w:basedOn w:val="Normal"/>
    <w:qFormat/>
    <w:pPr>
      <w:numPr>
        <w:ilvl w:val="0"/>
        <w:numId w:val="5"/>
      </w:numPr>
      <w:tabs>
        <w:tab w:val="clear" w:pos="720"/>
      </w:tabs>
      <w:spacing w:before="0" w:after="240"/>
      <w:ind w:hanging="720" w:start="1440" w:end="0"/>
    </w:pPr>
    <w:rPr/>
  </w:style>
  <w:style w:type="paragraph" w:styleId="ListNumber3">
    <w:name w:val="List Number 3"/>
    <w:basedOn w:val="Normal"/>
    <w:qFormat/>
    <w:pPr>
      <w:numPr>
        <w:ilvl w:val="0"/>
        <w:numId w:val="4"/>
      </w:numPr>
      <w:tabs>
        <w:tab w:val="clear" w:pos="720"/>
      </w:tabs>
      <w:spacing w:before="0" w:after="240"/>
      <w:ind w:hanging="720" w:start="2160" w:end="0"/>
    </w:pPr>
    <w:rPr/>
  </w:style>
  <w:style w:type="paragraph" w:styleId="ListNumber4">
    <w:name w:val="List Number 4"/>
    <w:basedOn w:val="Normal"/>
    <w:qFormat/>
    <w:pPr>
      <w:numPr>
        <w:ilvl w:val="0"/>
        <w:numId w:val="3"/>
      </w:numPr>
      <w:tabs>
        <w:tab w:val="clear" w:pos="720"/>
      </w:tabs>
      <w:spacing w:before="0" w:after="240"/>
      <w:ind w:hanging="720" w:start="2880" w:end="0"/>
    </w:pPr>
    <w:rPr/>
  </w:style>
  <w:style w:type="paragraph" w:styleId="ListNumber5">
    <w:name w:val="List Number 5"/>
    <w:basedOn w:val="Normal"/>
    <w:qFormat/>
    <w:pPr>
      <w:numPr>
        <w:ilvl w:val="0"/>
        <w:numId w:val="2"/>
      </w:numPr>
      <w:tabs>
        <w:tab w:val="clear" w:pos="720"/>
      </w:tabs>
      <w:spacing w:before="0" w:after="240"/>
      <w:ind w:hanging="720" w:start="3600" w:end="0"/>
    </w:pPr>
    <w:rPr/>
  </w:style>
  <w:style w:type="paragraph" w:styleId="ListNumber">
    <w:name w:val="List Number"/>
    <w:basedOn w:val="Normal"/>
    <w:qFormat/>
    <w:pPr>
      <w:numPr>
        <w:ilvl w:val="0"/>
        <w:numId w:val="10"/>
      </w:numPr>
      <w:tabs>
        <w:tab w:val="clear" w:pos="720"/>
      </w:tabs>
      <w:spacing w:before="0" w:after="240"/>
      <w:ind w:hanging="720" w:start="720" w:end="0"/>
    </w:pPr>
    <w:rPr/>
  </w:style>
  <w:style w:type="paragraph" w:styleId="EnvelopeAddress">
    <w:name w:val="envelope address"/>
    <w:basedOn w:val="Normal"/>
    <w:pPr>
      <w:ind w:hanging="0" w:start="2880" w:end="0"/>
    </w:pPr>
    <w:rPr/>
  </w:style>
  <w:style w:type="paragraph" w:styleId="PlainText">
    <w:name w:val="Plain Text"/>
    <w:basedOn w:val="Normal"/>
    <w:qFormat/>
    <w:pPr>
      <w:spacing w:before="0" w:after="240"/>
    </w:pPr>
    <w:rPr>
      <w:sz w:val="24"/>
    </w:rPr>
  </w:style>
  <w:style w:type="paragraph" w:styleId="Signature">
    <w:name w:val="Signature"/>
    <w:basedOn w:val="Normal"/>
    <w:pPr>
      <w:spacing w:before="0" w:after="240"/>
      <w:ind w:hanging="0" w:start="4320" w:end="0"/>
    </w:pPr>
    <w:rPr>
      <w:sz w:val="24"/>
    </w:rPr>
  </w:style>
  <w:style w:type="paragraph" w:styleId="Subtitle">
    <w:name w:val="Subtitle"/>
    <w:basedOn w:val="Normal"/>
    <w:next w:val="BodyText"/>
    <w:qFormat/>
    <w:pPr>
      <w:keepNext w:val="true"/>
      <w:spacing w:before="0" w:after="240"/>
      <w:jc w:val="center"/>
      <w:outlineLvl w:val="1"/>
    </w:pPr>
    <w:rPr/>
  </w:style>
  <w:style w:type="paragraph" w:styleId="TableofAuthorities">
    <w:name w:val="Table of Authorities"/>
    <w:basedOn w:val="Normal"/>
    <w:next w:val="Normal"/>
    <w:qFormat/>
    <w:pPr>
      <w:spacing w:before="0" w:after="240"/>
      <w:ind w:hanging="245" w:start="245" w:end="0"/>
    </w:pPr>
    <w:rPr/>
  </w:style>
  <w:style w:type="paragraph" w:styleId="TOAHeading">
    <w:name w:val="TOA Heading"/>
    <w:basedOn w:val="Normal"/>
    <w:next w:val="Normal"/>
    <w:qFormat/>
    <w:pPr>
      <w:spacing w:before="240" w:after="240"/>
    </w:pPr>
    <w:rPr>
      <w:b/>
    </w:rPr>
  </w:style>
  <w:style w:type="paragraph" w:styleId="EnvelopeWGMReturn">
    <w:name w:val="Envelope WGM Return"/>
    <w:basedOn w:val="Normal"/>
    <w:qFormat/>
    <w:pPr/>
    <w:rPr/>
  </w:style>
  <w:style w:type="paragraph" w:styleId="Memohead">
    <w:name w:val="Memohead"/>
    <w:qFormat/>
    <w:pPr>
      <w:widowControl/>
      <w:bidi w:val="0"/>
      <w:spacing w:before="0" w:after="240"/>
    </w:pPr>
    <w:rPr>
      <w:rFonts w:ascii="Times New Roman" w:hAnsi="Times New Roman" w:eastAsia="Times New Roman" w:cs="Times New Roman"/>
      <w:b/>
      <w:color w:val="auto"/>
      <w:sz w:val="20"/>
      <w:szCs w:val="20"/>
      <w:lang w:val="en-CA" w:eastAsia="zh-CN" w:bidi="hi-IN"/>
    </w:rPr>
  </w:style>
  <w:style w:type="paragraph" w:styleId="Memorandum">
    <w:name w:val="Memorandum"/>
    <w:basedOn w:val="Normal"/>
    <w:qFormat/>
    <w:pPr>
      <w:spacing w:before="0" w:after="720"/>
      <w:jc w:val="center"/>
    </w:pPr>
    <w:rPr>
      <w:rFonts w:ascii="EngraversGothic BT" w:hAnsi="EngraversGothic BT" w:cs="EngraversGothic BT"/>
      <w:b/>
      <w:spacing w:val="100"/>
      <w:sz w:val="28"/>
    </w:rPr>
  </w:style>
  <w:style w:type="paragraph" w:styleId="BlockText2">
    <w:name w:val="Block Text 2"/>
    <w:basedOn w:val="Normal"/>
    <w:qFormat/>
    <w:pPr>
      <w:spacing w:lineRule="auto" w:line="480"/>
      <w:ind w:hanging="0" w:start="1440" w:end="1440"/>
    </w:pPr>
    <w:rPr/>
  </w:style>
  <w:style w:type="paragraph" w:styleId="BodyText4">
    <w:name w:val="Body Text 4"/>
    <w:basedOn w:val="Normal"/>
    <w:qFormat/>
    <w:pPr>
      <w:spacing w:lineRule="auto" w:line="480"/>
    </w:pPr>
    <w:rPr/>
  </w:style>
  <w:style w:type="paragraph" w:styleId="EnvelopeReturn">
    <w:name w:val="envelope return"/>
    <w:basedOn w:val="Normal"/>
    <w:pPr/>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Times New Roman" w:hAnsi="Times New Roman" w:eastAsia="Times New Roman" w:cs="Times New Roman"/>
      <w:color w:val="auto"/>
      <w:sz w:val="20"/>
      <w:szCs w:val="20"/>
      <w:lang w:val="en-US" w:eastAsia="zh-CN" w:bidi="hi-IN"/>
    </w:rPr>
  </w:style>
  <w:style w:type="paragraph" w:styleId="ListBullet21">
    <w:name w:val="List Bullet 21"/>
    <w:basedOn w:val="Normal"/>
    <w:qFormat/>
    <w:pPr>
      <w:numPr>
        <w:ilvl w:val="0"/>
        <w:numId w:val="9"/>
      </w:numPr>
      <w:spacing w:before="0" w:after="240"/>
      <w:ind w:hanging="720" w:start="1440" w:end="0"/>
    </w:pPr>
    <w:rPr/>
  </w:style>
  <w:style w:type="paragraph" w:styleId="DocumentMap">
    <w:name w:val="Document Map"/>
    <w:basedOn w:val="Normal"/>
    <w:qFormat/>
    <w:pPr>
      <w:shd w:fill="000080" w:val="clear"/>
    </w:pPr>
    <w:rPr/>
  </w:style>
  <w:style w:type="paragraph" w:styleId="Index1">
    <w:name w:val="index 1"/>
    <w:basedOn w:val="Normal"/>
    <w:next w:val="Normal"/>
    <w:pPr>
      <w:ind w:hanging="240" w:start="240" w:end="0"/>
    </w:pPr>
    <w:rPr/>
  </w:style>
  <w:style w:type="paragraph" w:styleId="IndexHeading">
    <w:name w:val="index heading"/>
    <w:basedOn w:val="Normal"/>
    <w:next w:val="Index1"/>
    <w:pPr/>
    <w:rPr>
      <w:b/>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subhead">
    <w:name w:val="subhead"/>
    <w:basedOn w:val="Heading"/>
    <w:qFormat/>
    <w:pPr/>
    <w:rPr>
      <w:rFonts w:ascii="Times New Roman Bold;Times New Roman" w:hAnsi="Times New Roman Bold;Times New Roman" w:cs="Times New Roman Bold;Times New Roman"/>
      <w:caps/>
      <w:u w:val="single"/>
    </w:rPr>
  </w:style>
  <w:style w:type="paragraph" w:styleId="OutlineL4">
    <w:name w:val="Outline_L4"/>
    <w:basedOn w:val="Normal"/>
    <w:next w:val="Normal"/>
    <w:qFormat/>
    <w:pPr>
      <w:numPr>
        <w:ilvl w:val="0"/>
        <w:numId w:val="15"/>
      </w:numPr>
      <w:tabs>
        <w:tab w:val="clear" w:pos="720"/>
      </w:tabs>
      <w:spacing w:before="0" w:after="240"/>
      <w:ind w:hanging="720" w:start="2880" w:end="0"/>
      <w:outlineLvl w:val="3"/>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nysb.uscourts.gov/"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notes" Target="footnotes.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100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2001-12-13T13:06:00Z</dcterms:created>
  <dc:creator>TURNERM</dc:creator>
  <dc:description/>
  <cp:keywords>DocsOpen Name: #241851 v4 - ENRON - Wholesale Business - Order re: Bidding Procs etc.</cp:keywords>
  <dc:language>en-CA</dc:language>
  <cp:lastModifiedBy>A satisfied Microsoft Office User</cp:lastModifiedBy>
  <cp:lastPrinted>2001-12-14T15:01:00Z</cp:lastPrinted>
  <dcterms:modified xsi:type="dcterms:W3CDTF">2001-12-14T17:32:00Z</dcterms:modified>
  <cp:revision>19</cp:revision>
  <dc:subject>DocsOpen Loc:M:\DATA\HO1\BAKERS\MISC\56M304!.DOC</dc:subject>
  <dc:title>Local: C:\WINDOWS\Desktop\HO1-241851-ENRON - Wholesale Business - Order re  Bidding Procs, etc..DOC</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GM_Trailer">
    <vt:lpwstr>HO1:\241851\04\56M304!.DOC\43889.0003</vt:lpwstr>
  </property>
</Properties>
</file>