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360"/>
        <w:rPr>
          <w:spacing w:val="0"/>
        </w:rPr>
      </w:pPr>
      <w:r>
        <w:rPr>
          <w:spacing w:val="0"/>
        </w:rPr>
        <w:t>Memorandum</w:t>
      </w:r>
    </w:p>
    <w:p>
      <w:pPr>
        <w:pStyle w:val="Normal"/>
        <w:rPr>
          <w:spacing w:val="0"/>
        </w:rPr>
      </w:pPr>
      <w:r>
        <w:rPr>
          <w:spacing w:val="0"/>
        </w:rPr>
      </w:r>
    </w:p>
    <w:tbl>
      <w:tblPr>
        <w:tblW w:w="9576" w:type="dxa"/>
        <w:jc w:val="start"/>
        <w:tblInd w:w="0" w:type="dxa"/>
        <w:tblLayout w:type="fixed"/>
        <w:tblCellMar>
          <w:top w:w="0" w:type="dxa"/>
          <w:start w:w="0" w:type="dxa"/>
          <w:bottom w:w="0" w:type="dxa"/>
          <w:end w:w="0" w:type="dxa"/>
        </w:tblCellMar>
      </w:tblPr>
      <w:tblGrid>
        <w:gridCol w:w="1440"/>
        <w:gridCol w:w="4560"/>
        <w:gridCol w:w="600"/>
        <w:gridCol w:w="2976"/>
      </w:tblGrid>
      <w:tr>
        <w:trPr/>
        <w:tc>
          <w:tcPr>
            <w:tcW w:w="1440" w:type="dxa"/>
            <w:tcBorders/>
          </w:tcPr>
          <w:p>
            <w:pPr>
              <w:pStyle w:val="tblHeading"/>
              <w:spacing w:before="0" w:after="120"/>
              <w:rPr/>
            </w:pPr>
            <w:r>
              <w:rPr/>
              <w:t>To:</w:t>
            </w:r>
          </w:p>
        </w:tc>
        <w:tc>
          <w:tcPr>
            <w:tcW w:w="4560" w:type="dxa"/>
            <w:tcBorders/>
          </w:tcPr>
          <w:p>
            <w:pPr>
              <w:pStyle w:val="tblText"/>
              <w:spacing w:before="0" w:after="120"/>
              <w:ind w:hanging="0" w:start="0" w:end="216"/>
              <w:rPr/>
            </w:pPr>
            <w:r>
              <w:rPr/>
              <w:t>Enron/NSM File</w:t>
            </w:r>
          </w:p>
        </w:tc>
        <w:tc>
          <w:tcPr>
            <w:tcW w:w="600" w:type="dxa"/>
            <w:tcBorders/>
          </w:tcPr>
          <w:p>
            <w:pPr>
              <w:pStyle w:val="tblHeading"/>
              <w:spacing w:before="0" w:after="120"/>
              <w:ind w:end="-48"/>
              <w:rPr/>
            </w:pPr>
            <w:r>
              <w:rPr/>
              <w:t>cc:</w:t>
            </w:r>
          </w:p>
        </w:tc>
        <w:tc>
          <w:tcPr>
            <w:tcW w:w="2976" w:type="dxa"/>
            <w:tcBorders/>
          </w:tcPr>
          <w:p>
            <w:pPr>
              <w:pStyle w:val="tblText"/>
              <w:spacing w:before="0" w:after="120"/>
              <w:ind w:hanging="0" w:start="0" w:end="216"/>
              <w:rPr/>
            </w:pPr>
            <w:r>
              <w:rPr/>
              <w:t>Steve Howard</w:t>
              <w:br/>
              <w:t>Jonathan Goldblatt</w:t>
              <w:br/>
              <w:t>Scott Vick</w:t>
            </w:r>
          </w:p>
        </w:tc>
      </w:tr>
      <w:tr>
        <w:trPr/>
        <w:tc>
          <w:tcPr>
            <w:tcW w:w="1440" w:type="dxa"/>
            <w:tcBorders/>
          </w:tcPr>
          <w:p>
            <w:pPr>
              <w:pStyle w:val="tblHeading"/>
              <w:spacing w:before="0" w:after="120"/>
              <w:rPr/>
            </w:pPr>
            <w:r>
              <w:rPr/>
              <w:t>From:</w:t>
            </w:r>
          </w:p>
        </w:tc>
        <w:tc>
          <w:tcPr>
            <w:tcW w:w="8136" w:type="dxa"/>
            <w:gridSpan w:val="3"/>
            <w:tcBorders/>
          </w:tcPr>
          <w:p>
            <w:pPr>
              <w:pStyle w:val="tblText"/>
              <w:spacing w:before="0" w:after="120"/>
              <w:ind w:hanging="0" w:start="0" w:end="216"/>
              <w:rPr/>
            </w:pPr>
            <w:r>
              <w:rPr/>
              <w:t>Marilyn Howard</w:t>
            </w:r>
          </w:p>
        </w:tc>
      </w:tr>
      <w:tr>
        <w:trPr/>
        <w:tc>
          <w:tcPr>
            <w:tcW w:w="1440" w:type="dxa"/>
            <w:tcBorders/>
          </w:tcPr>
          <w:p>
            <w:pPr>
              <w:pStyle w:val="tblHeading"/>
              <w:spacing w:before="0" w:after="120"/>
              <w:rPr/>
            </w:pPr>
            <w:r>
              <w:rPr/>
              <w:t>Date:</w:t>
            </w:r>
          </w:p>
        </w:tc>
        <w:tc>
          <w:tcPr>
            <w:tcW w:w="8136" w:type="dxa"/>
            <w:gridSpan w:val="3"/>
            <w:tcBorders/>
          </w:tcPr>
          <w:p>
            <w:pPr>
              <w:pStyle w:val="MemoDate"/>
              <w:spacing w:before="0" w:after="120"/>
              <w:rPr/>
            </w:pPr>
            <w:r>
              <w:rPr/>
              <w:t>June 5, 2001</w:t>
            </w:r>
          </w:p>
        </w:tc>
      </w:tr>
      <w:tr>
        <w:trPr/>
        <w:tc>
          <w:tcPr>
            <w:tcW w:w="1440" w:type="dxa"/>
            <w:tcBorders/>
          </w:tcPr>
          <w:p>
            <w:pPr>
              <w:pStyle w:val="tblHeading"/>
              <w:spacing w:before="0" w:after="120"/>
              <w:rPr/>
            </w:pPr>
            <w:r>
              <w:rPr/>
              <w:t>In Re:</w:t>
            </w:r>
          </w:p>
        </w:tc>
        <w:tc>
          <w:tcPr>
            <w:tcW w:w="8136" w:type="dxa"/>
            <w:gridSpan w:val="3"/>
            <w:tcBorders/>
          </w:tcPr>
          <w:p>
            <w:pPr>
              <w:pStyle w:val="tblText"/>
              <w:spacing w:before="0" w:after="120"/>
              <w:ind w:hanging="0" w:start="0" w:end="216"/>
              <w:rPr/>
            </w:pPr>
            <w:r>
              <w:rPr/>
              <w:t>Due Diligence Defense Under Sections 25401 and 25501 Of The California Corporate Securities Law</w:t>
            </w:r>
          </w:p>
        </w:tc>
      </w:tr>
      <w:tr>
        <w:trPr/>
        <w:tc>
          <w:tcPr>
            <w:tcW w:w="1440" w:type="dxa"/>
            <w:tcBorders/>
          </w:tcPr>
          <w:p>
            <w:pPr>
              <w:pStyle w:val="tblHeading"/>
              <w:spacing w:before="0" w:after="120"/>
              <w:rPr/>
            </w:pPr>
            <w:r>
              <w:rPr/>
              <w:t>File No.:</w:t>
            </w:r>
          </w:p>
        </w:tc>
        <w:tc>
          <w:tcPr>
            <w:tcW w:w="8136" w:type="dxa"/>
            <w:gridSpan w:val="3"/>
            <w:tcBorders/>
          </w:tcPr>
          <w:p>
            <w:pPr>
              <w:pStyle w:val="tblText"/>
              <w:spacing w:before="0" w:after="120"/>
              <w:ind w:hanging="0" w:start="0" w:end="216"/>
              <w:rPr/>
            </w:pPr>
            <w:r>
              <w:rPr/>
              <w:t>12169-202244</w:t>
            </w:r>
          </w:p>
        </w:tc>
      </w:tr>
      <w:tr>
        <w:trPr/>
        <w:tc>
          <w:tcPr>
            <w:tcW w:w="9576" w:type="dxa"/>
            <w:gridSpan w:val="4"/>
            <w:tcBorders>
              <w:top w:val="single" w:sz="12" w:space="0" w:color="000000"/>
            </w:tcBorders>
            <w:tcMar>
              <w:start w:w="108" w:type="dxa"/>
              <w:end w:w="108" w:type="dxa"/>
            </w:tcMar>
          </w:tcPr>
          <w:p>
            <w:pPr>
              <w:pStyle w:val="Normal"/>
              <w:snapToGrid w:val="false"/>
              <w:rPr/>
            </w:pPr>
            <w:r>
              <w:rPr/>
            </w:r>
          </w:p>
        </w:tc>
      </w:tr>
    </w:tbl>
    <w:p>
      <w:pPr>
        <w:pStyle w:val="OutlineL1"/>
        <w:numPr>
          <w:ilvl w:val="0"/>
          <w:numId w:val="1"/>
        </w:numPr>
        <w:ind w:hanging="0" w:start="0"/>
        <w:rPr/>
      </w:pPr>
      <w:r>
        <w:rPr>
          <w:b/>
          <w:caps/>
        </w:rPr>
        <w:t>ISSUES</w:t>
      </w:r>
    </w:p>
    <w:p>
      <w:pPr>
        <w:pStyle w:val="BodyText"/>
        <w:rPr/>
      </w:pPr>
      <w:r>
        <w:rPr/>
        <w:t>Can a non-lead underwriter establish a “due diligence” defense under Section 2550l of the California Corporation Code by relying on the “due diligence” of the lead underwriter?</w:t>
      </w:r>
      <w:r>
        <w:rPr>
          <w:rStyle w:val="FootnoteCharacters"/>
          <w:rStyle w:val="FootnoteReference"/>
        </w:rPr>
        <w:footnoteReference w:id="2"/>
      </w:r>
      <w:r>
        <w:rPr/>
        <w:t xml:space="preserve">  </w:t>
      </w:r>
    </w:p>
    <w:p>
      <w:pPr>
        <w:pStyle w:val="BodyText"/>
        <w:rPr/>
      </w:pPr>
      <w:r>
        <w:rPr/>
        <w:t>Where the non-lead underwriter has relied in whole or in part on the “due diligence” of the lead underwriter and that “due diligence” has been found to be insufficient under Section 2550l, can the non-lead underwriter still present an independent “due diligence” defense and, if so, on what basis?</w:t>
      </w:r>
      <w:r>
        <w:rPr>
          <w:rStyle w:val="FootnoteCharacters"/>
          <w:rStyle w:val="FootnoteReference"/>
        </w:rPr>
        <w:footnoteReference w:id="3"/>
      </w:r>
    </w:p>
    <w:p>
      <w:pPr>
        <w:pStyle w:val="OutlineL1"/>
        <w:numPr>
          <w:ilvl w:val="0"/>
          <w:numId w:val="1"/>
        </w:numPr>
        <w:ind w:hanging="0" w:start="0"/>
        <w:rPr/>
      </w:pPr>
      <w:r>
        <w:rPr>
          <w:b/>
          <w:caps/>
        </w:rPr>
        <w:t>THE STATUTORY FRAMEWORK</w:t>
      </w:r>
    </w:p>
    <w:p>
      <w:pPr>
        <w:pStyle w:val="OutlineL2"/>
        <w:numPr>
          <w:ilvl w:val="1"/>
          <w:numId w:val="1"/>
        </w:numPr>
        <w:ind w:hanging="0" w:start="0"/>
        <w:rPr/>
      </w:pPr>
      <w:r>
        <w:rPr>
          <w:b/>
          <w:caps/>
        </w:rPr>
        <w:t>THE CALIFORNIA STATUTORY PROVISIONS</w:t>
      </w:r>
      <w:r>
        <w:rPr/>
        <w:t xml:space="preserve">. </w:t>
      </w:r>
    </w:p>
    <w:p>
      <w:pPr>
        <w:pStyle w:val="BodyText"/>
        <w:rPr/>
      </w:pPr>
      <w:r>
        <w:rPr/>
        <w:t xml:space="preserve">Section 25401 of the California Corporations Code makes it “unlawful for any person to offer or sell a security…by means of any written or oral communication which includes an untrue statement of a material fact or omits to state a material fact necessary in order to make the statements made, in the light of the circumstances under which they were made, not misleading.”  Cal. Corp. Section 25401.  </w:t>
      </w:r>
    </w:p>
    <w:p>
      <w:pPr>
        <w:pStyle w:val="BodyText"/>
        <w:rPr/>
      </w:pPr>
      <w:r>
        <w:rPr/>
        <w:t>Section 2550l, in turn, provides that “any person who violates Section 2540l” is liable to any person who “purchases a security from him or sells a security to him…”  A defendant can escape liability by establishing (among other things) that such defendant “exercised reasonable care and did not know (or if he had exercised reasonable care would not have known) of the untruth or omission…”</w:t>
      </w:r>
      <w:r>
        <w:rPr>
          <w:rStyle w:val="FootnoteCharacters"/>
          <w:rStyle w:val="FootnoteReference"/>
        </w:rPr>
        <w:footnoteReference w:id="4"/>
      </w:r>
      <w:r>
        <w:rPr/>
        <w:t xml:space="preserve">  Although the statute makes no reference to the term “due diligence”, the cases and commentators typically refer to this defense as the “due diligence” defense.</w:t>
      </w:r>
    </w:p>
    <w:p>
      <w:pPr>
        <w:pStyle w:val="OutlineL2"/>
        <w:numPr>
          <w:ilvl w:val="1"/>
          <w:numId w:val="1"/>
        </w:numPr>
        <w:ind w:hanging="0" w:start="0"/>
        <w:rPr/>
      </w:pPr>
      <w:r>
        <w:rPr>
          <w:b/>
          <w:caps/>
        </w:rPr>
        <w:t>COMPARING SECTIONS 25401 AND 25501 TO THE PROVISIONS OF THE FEDERAL 1933 SECURITIES ACT</w:t>
      </w:r>
      <w:r>
        <w:rPr/>
        <w:t xml:space="preserve">.  </w:t>
      </w:r>
    </w:p>
    <w:p>
      <w:pPr>
        <w:pStyle w:val="BodyText"/>
        <w:rPr/>
      </w:pPr>
      <w:r>
        <w:rPr/>
        <w:t xml:space="preserve">Sections 25401 and 25501 are said to be patterned on Section 12(2) of the  1933 Securities Act.  Harold Marsh, Jr. &amp; Robert H. Volk, </w:t>
      </w:r>
      <w:r>
        <w:rPr>
          <w:i/>
          <w:iCs/>
        </w:rPr>
        <w:t>Practice Under the California Securities Laws</w:t>
      </w:r>
      <w:r>
        <w:rPr/>
        <w:t>, Section 14.03 [1] (Lexis Publishing 2000) (hereinafter “Marsh &amp; Volk”).  Both the California provisions and Section 12(2) create claims for misstatements and omissions in the sale of securities and both provide that a defendant can escape liability if that defendant exercises the requisite degree of reasonable care.</w:t>
      </w:r>
      <w:r>
        <w:rPr>
          <w:rStyle w:val="FootnoteCharacters"/>
          <w:rStyle w:val="FootnoteReference"/>
        </w:rPr>
        <w:footnoteReference w:id="5"/>
      </w:r>
      <w:r>
        <w:rPr/>
        <w:t xml:space="preserve">  However, the provisions are not identical.  First, unlike section 12(2), liability under Section 25501 only attaches if there is “strict privity” between the plaintiff and the defendant.  </w:t>
      </w:r>
      <w:r>
        <w:rPr>
          <w:i/>
          <w:iCs/>
        </w:rPr>
        <w:t>See e.g., Admiralty Fund v. Jones,</w:t>
      </w:r>
      <w:r>
        <w:rPr/>
        <w:t xml:space="preserve"> 677 F.2d 1289, 1296 (9</w:t>
      </w:r>
      <w:r>
        <w:rPr>
          <w:vertAlign w:val="superscript"/>
        </w:rPr>
        <w:t>th</w:t>
      </w:r>
      <w:r>
        <w:rPr/>
        <w:t xml:space="preserve"> Cir. 1982) (finding that the California statute required that the defendant be a “literal” seller); </w:t>
      </w:r>
      <w:r>
        <w:rPr>
          <w:i/>
          <w:iCs/>
        </w:rPr>
        <w:t>In re ZZZZ Best Sec. Litig.,</w:t>
      </w:r>
      <w:r>
        <w:rPr/>
        <w:t xml:space="preserve"> Blue Sky L. Rep. Para. 72,981, at 73,833, 838-39 &amp; 847-48 (C.D.Cal. 1980) (finding that only “transferers of title” were liable under Section 25501); </w:t>
      </w:r>
      <w:r>
        <w:rPr>
          <w:i/>
          <w:iCs/>
        </w:rPr>
        <w:t>In re Eagle Computer Sec. Litig.,</w:t>
      </w:r>
      <w:r>
        <w:rPr/>
        <w:t xml:space="preserve"> No. C-84-20382(A), 1985 WL 5808,*9 (N.D.Cal.1985) </w:t>
      </w:r>
      <w:r>
        <w:rPr>
          <w:i/>
          <w:iCs/>
        </w:rPr>
        <w:t>reconsideration denied</w:t>
      </w:r>
      <w:r>
        <w:rPr/>
        <w:t xml:space="preserve">, 1986 WL 12574 (1986) (finding that Section 25501 required “strict privity”); </w:t>
      </w:r>
      <w:r>
        <w:rPr>
          <w:i/>
          <w:iCs/>
        </w:rPr>
        <w:t>In re Diasonics Sec. Litig.,</w:t>
      </w:r>
      <w:r>
        <w:rPr/>
        <w:t xml:space="preserve"> 599 F.Supp. 447, 458-59 (N.D.Cal. 1984) (finding that Section 25501 required “strict privity”).  </w:t>
      </w:r>
      <w:r>
        <w:rPr>
          <w:i/>
          <w:iCs/>
        </w:rPr>
        <w:t>See also,</w:t>
      </w:r>
      <w:r>
        <w:rPr/>
        <w:t xml:space="preserve"> Marsh &amp; Volk, </w:t>
      </w:r>
      <w:r>
        <w:rPr>
          <w:i/>
          <w:iCs/>
        </w:rPr>
        <w:t>supra</w:t>
      </w:r>
      <w:r>
        <w:rPr/>
        <w:t xml:space="preserve">, Section 14.03 [4] [a]; Douglas M. Branson, </w:t>
      </w:r>
      <w:r>
        <w:rPr>
          <w:i/>
          <w:iCs/>
        </w:rPr>
        <w:t>Collateral Participant Liability Under State Securities Laws</w:t>
      </w:r>
      <w:r>
        <w:rPr/>
        <w:t xml:space="preserve">, 19 Pepp. L. Rev. 1027, 1048-49 &amp; fn. 123-24 (1992).  Under Section 12(2), on the other hand, a defendant may be liable if such defendant directly solicited or promoted the sale even in the absence of “strict privity”.  </w:t>
      </w:r>
      <w:r>
        <w:rPr>
          <w:i/>
          <w:iCs/>
        </w:rPr>
        <w:t>See, Pinter</w:t>
      </w:r>
      <w:r>
        <w:rPr/>
        <w:t xml:space="preserve"> </w:t>
      </w:r>
      <w:r>
        <w:rPr>
          <w:i/>
          <w:iCs/>
        </w:rPr>
        <w:t>v. Dahl</w:t>
      </w:r>
      <w:r>
        <w:rPr/>
        <w:t>, 486 U.S. 622 (1988) (in a case under Section 12(1), finding that persons who have directly solicited or promoted a sale and have a financial interest in the outcome may be liable under the statute).</w:t>
      </w:r>
    </w:p>
    <w:p>
      <w:pPr>
        <w:pStyle w:val="BodyText"/>
        <w:rPr/>
      </w:pPr>
      <w:r>
        <w:rPr/>
        <w:t xml:space="preserve">Additionally, Section 12(2) has been held to apply only to public offerings.  </w:t>
      </w:r>
      <w:r>
        <w:rPr>
          <w:i/>
          <w:iCs/>
        </w:rPr>
        <w:t>Gustafson v. Alloyd Co., Inc</w:t>
      </w:r>
      <w:r>
        <w:rPr/>
        <w:t xml:space="preserve">., 513 U.S. 561  (1995) (in a case involving the sale of substantially all the stock of a company, finding that the word “prospectus” in Section 12(2) referred only to the document created in an initial public offerings and, therefore, that 12(2) applied only to such an offering).   </w:t>
      </w:r>
      <w:r>
        <w:rPr>
          <w:i/>
          <w:iCs/>
        </w:rPr>
        <w:t>See also,</w:t>
      </w:r>
      <w:r>
        <w:rPr/>
        <w:t xml:space="preserve"> Mark C. Boyle, </w:t>
      </w:r>
      <w:r>
        <w:rPr>
          <w:i/>
          <w:iCs/>
        </w:rPr>
        <w:t>Rule 144A and the Gustafson Decision:  An Institutional Lender’s Perspective,</w:t>
      </w:r>
      <w:r>
        <w:rPr/>
        <w:t xml:space="preserve"> 1171 PLI/Corp. 501, 513-15 (2000) (stating that cases subsequent to </w:t>
      </w:r>
      <w:r>
        <w:rPr>
          <w:i/>
          <w:iCs/>
        </w:rPr>
        <w:t xml:space="preserve">Gustafson </w:t>
      </w:r>
      <w:r>
        <w:rPr/>
        <w:t xml:space="preserve">have specifically applied the </w:t>
      </w:r>
      <w:r>
        <w:rPr>
          <w:i/>
          <w:iCs/>
        </w:rPr>
        <w:t>Gustafson</w:t>
      </w:r>
      <w:r>
        <w:rPr/>
        <w:t xml:space="preserve"> ruling to private placements).  In a case prior to </w:t>
      </w:r>
      <w:r>
        <w:rPr>
          <w:i/>
          <w:iCs/>
        </w:rPr>
        <w:t>Gustafson</w:t>
      </w:r>
      <w:r>
        <w:rPr/>
        <w:t xml:space="preserve">, one court held that Sections 25401 and 25501 applied to the sale of any security, regardless of whether the transaction was public or private.  </w:t>
      </w:r>
      <w:r>
        <w:rPr>
          <w:i/>
          <w:iCs/>
        </w:rPr>
        <w:t>See, Stewart v. Ragland,</w:t>
      </w:r>
      <w:r>
        <w:rPr/>
        <w:t xml:space="preserve"> 934 F.2d 1033 (9</w:t>
      </w:r>
      <w:r>
        <w:rPr>
          <w:vertAlign w:val="superscript"/>
        </w:rPr>
        <w:t>th</w:t>
      </w:r>
      <w:r>
        <w:rPr/>
        <w:t xml:space="preserve"> Cir. 1991), </w:t>
      </w:r>
      <w:r>
        <w:rPr>
          <w:i/>
          <w:iCs/>
        </w:rPr>
        <w:t>reh’g denied</w:t>
      </w:r>
      <w:r>
        <w:rPr/>
        <w:t xml:space="preserve">.  No case has addressed this issue under Sections 25401 and 25501 since the </w:t>
      </w:r>
      <w:r>
        <w:rPr>
          <w:i/>
          <w:iCs/>
        </w:rPr>
        <w:t xml:space="preserve">Gustafson </w:t>
      </w:r>
      <w:r>
        <w:rPr/>
        <w:t>ruling.  However, given the broader language of Sections 25401 and 25501</w:t>
      </w:r>
      <w:r>
        <w:rPr>
          <w:i/>
          <w:iCs/>
        </w:rPr>
        <w:t>, i.e.</w:t>
      </w:r>
      <w:r>
        <w:rPr/>
        <w:t xml:space="preserve"> liability attaches with respect to any misstatement or omission (not just one appearing in a “prospectus”), it seems likely that Sections 25401 and 25501 will continue to apply to both public and private offerings.</w:t>
      </w:r>
    </w:p>
    <w:p>
      <w:pPr>
        <w:pStyle w:val="BodyText"/>
        <w:rPr/>
      </w:pPr>
      <w:r>
        <w:rPr/>
        <w:t>Section 11 of the 1933 Securities Act also imposes liability for misstatements or omissions but, unlike Sections 25401 and 25501, it applies only to registration statements.  (Section 12(2) applies to the “prospectus”.)  Under Section 11, the issuer is strictly liable for all material misstatements and omissions in a registrations statement, but, like Sections 25501 and 12(2), other defendants may escape liability if they can establish a reasonable belief in the accuracy of the registration statement.</w:t>
      </w:r>
      <w:r>
        <w:rPr>
          <w:rStyle w:val="FootnoteCharacters"/>
          <w:rStyle w:val="FootnoteReference"/>
        </w:rPr>
        <w:footnoteReference w:id="6"/>
      </w:r>
    </w:p>
    <w:p>
      <w:pPr>
        <w:pStyle w:val="OutlineL1"/>
        <w:numPr>
          <w:ilvl w:val="0"/>
          <w:numId w:val="1"/>
        </w:numPr>
        <w:ind w:hanging="0" w:start="0"/>
        <w:rPr/>
      </w:pPr>
      <w:r>
        <w:rPr>
          <w:b/>
          <w:caps/>
        </w:rPr>
        <w:t>DISCUSSION</w:t>
      </w:r>
    </w:p>
    <w:p>
      <w:pPr>
        <w:pStyle w:val="OutlineL2"/>
        <w:numPr>
          <w:ilvl w:val="1"/>
          <w:numId w:val="1"/>
        </w:numPr>
        <w:ind w:hanging="0" w:start="0"/>
        <w:rPr/>
      </w:pPr>
      <w:r>
        <w:rPr>
          <w:b/>
          <w:caps/>
        </w:rPr>
        <w:t>The BarChris Case</w:t>
      </w:r>
    </w:p>
    <w:p>
      <w:pPr>
        <w:pStyle w:val="BodyText"/>
        <w:rPr/>
      </w:pPr>
      <w:r>
        <w:rPr/>
        <w:t xml:space="preserve">There are no cases under Section 25501 that address either (1) the issue of what a defendant underwriter, in general, needs to show in order to establish its “due diligence” defense under Section 25501or (2) the issue of how, specifically, the obligations of “due diligence” are to be allocated as between a lead and non-lead underwriter.   </w:t>
      </w:r>
      <w:r>
        <w:rPr>
          <w:i/>
          <w:iCs/>
        </w:rPr>
        <w:t xml:space="preserve">See generally, </w:t>
      </w:r>
      <w:r>
        <w:rPr/>
        <w:t xml:space="preserve">Marsh &amp; Volk, </w:t>
      </w:r>
      <w:r>
        <w:rPr>
          <w:i/>
          <w:iCs/>
        </w:rPr>
        <w:t>supra</w:t>
      </w:r>
      <w:r>
        <w:rPr/>
        <w:t>, Section 14.03 [3].</w:t>
      </w:r>
      <w:r>
        <w:rPr>
          <w:rStyle w:val="FootnoteCharacters"/>
          <w:rStyle w:val="FootnoteReference"/>
        </w:rPr>
        <w:footnoteReference w:id="7"/>
      </w:r>
    </w:p>
    <w:p>
      <w:pPr>
        <w:pStyle w:val="BodyText"/>
        <w:rPr/>
      </w:pPr>
      <w:r>
        <w:rPr/>
        <w:t xml:space="preserve">Indeed, even on the federal side, there is only limited authority available on the responsibilities of an underwriter.  The leading authority is a case decided under Section 11 of the 1933 Securities Act.  </w:t>
      </w:r>
      <w:r>
        <w:rPr>
          <w:i/>
          <w:iCs/>
        </w:rPr>
        <w:t>Escott v. BarChris Construction Corp,.</w:t>
      </w:r>
      <w:r>
        <w:rPr/>
        <w:t xml:space="preserve"> 283 F. Supp. 643 (S.D.N.Y. 1968).  As indicated above, like Section 25501, Section 11 contains a “due diligence” defense.  Section 11 provides that no person (other than the issuer) shall be liable if such person “after reasonable investigation” had “reasonable ground to believe and did believe…that the statements [in the registration statement] were true and that there was no omission to state a material fact required to be stated therein or necessary to make the statements therein not misleading…”</w:t>
      </w:r>
      <w:r>
        <w:rPr>
          <w:rStyle w:val="FootnoteCharacters"/>
          <w:rStyle w:val="FootnoteReference"/>
        </w:rPr>
        <w:footnoteReference w:id="8"/>
      </w:r>
      <w:r>
        <w:rPr/>
        <w:t xml:space="preserve">  In </w:t>
      </w:r>
      <w:r>
        <w:rPr>
          <w:i/>
          <w:iCs/>
        </w:rPr>
        <w:t>BarChris</w:t>
      </w:r>
      <w:r>
        <w:rPr/>
        <w:t xml:space="preserve">, the lead underwriter unsuccessfully attempted to establish due diligence based on an investigation for the most part conducted by counsel.  During the course of the due diligence, the lead underwriter and counsel met with management of the issuer and the issuer’s accountants and discussed many of the points of misstatement later found actionable.  Though the points were discussed, no verification of the representations of management was made either by the underwriters or counsel.  (There was some attempt to independently review certain corporate records but this attempt was made by a very junior lawyer and was incomplete.)  Meanwhile, the participating underwriters “did nothing and relied solely on [the lead underwriter]”.  </w:t>
      </w:r>
      <w:r>
        <w:rPr>
          <w:i/>
          <w:iCs/>
        </w:rPr>
        <w:t>Id.</w:t>
      </w:r>
      <w:r>
        <w:rPr/>
        <w:t xml:space="preserve"> at 697. </w:t>
      </w:r>
    </w:p>
    <w:p>
      <w:pPr>
        <w:pStyle w:val="BodyText"/>
        <w:rPr/>
      </w:pPr>
      <w:r>
        <w:rPr/>
        <w:t xml:space="preserve">The </w:t>
      </w:r>
      <w:r>
        <w:rPr>
          <w:i/>
          <w:iCs/>
        </w:rPr>
        <w:t xml:space="preserve">BarChris </w:t>
      </w:r>
      <w:r>
        <w:rPr/>
        <w:t xml:space="preserve">court found that the lead underwriter had not established its “due diligence” under Section 11 and that, since the non-lead underwriters had relied “solely” on the lead underwriter, they were “bound” by its failure.  </w:t>
      </w:r>
      <w:r>
        <w:rPr>
          <w:i/>
          <w:iCs/>
        </w:rPr>
        <w:t>Id.</w:t>
      </w:r>
      <w:r>
        <w:rPr/>
        <w:t xml:space="preserve">  In finding that the underwriters could not rely on the representations of management without verifying them, the court in </w:t>
      </w:r>
      <w:r>
        <w:rPr>
          <w:i/>
          <w:iCs/>
        </w:rPr>
        <w:t>BarChris</w:t>
      </w:r>
      <w:r>
        <w:rPr/>
        <w:t xml:space="preserve"> observed that “[i]n a sense, the positions of the underwriter and the company’s officers are adverse,” and, therefore, “[i]t is not unlikely that statements made by company officers to an underwriter to induce him to underwrite may be self-serving” or “unduly enthusiastic” or even “deliberately false.”  </w:t>
      </w:r>
      <w:r>
        <w:rPr>
          <w:i/>
          <w:iCs/>
        </w:rPr>
        <w:t>Id</w:t>
      </w:r>
      <w:r>
        <w:rPr/>
        <w:t>. at 696-97.  The court stated specifically:</w:t>
      </w:r>
    </w:p>
    <w:p>
      <w:pPr>
        <w:pStyle w:val="BodyTextIndent"/>
        <w:rPr/>
      </w:pPr>
      <w:r>
        <w:rPr/>
        <w:t xml:space="preserve">The purpose of Section 11 is to protect investors.  To that end the underwriters are made responsible for the truth of the prospectus.  If they may escape that responsibility by taking at face value representations made to them by the company’s management, then the inclusion of underwriters among those liable under Section 11 affords the investors no additional protection.  To effectuate the statute’s purpose, the phrase ‘reasonable investigation’ must be construed to require more effort on the part of the underwriters than the mere accurate reporting in the prospectus of ‘date [sic] presented’ to them by the company…In order to make the underwriters’ participation in this enterprise of any value to the investors, the underwriters must make some reasonable attempt to verify the data submitted to them.  They may not rely solely on the company’s officers or on the company’s counsel.  A prudent man in the management of his own property would not rely on them…In the present case, the underwriters’ counsel made almost no attempt to verify management’s representations.  I hold that that was insufficient.    </w:t>
      </w:r>
    </w:p>
    <w:p>
      <w:pPr>
        <w:pStyle w:val="margin"/>
        <w:rPr/>
      </w:pPr>
      <w:r>
        <w:rPr/>
        <w:t>Id at 697.</w:t>
      </w:r>
    </w:p>
    <w:p>
      <w:pPr>
        <w:pStyle w:val="BodyText"/>
        <w:rPr/>
      </w:pPr>
      <w:r>
        <w:rPr/>
        <w:t xml:space="preserve">As indicated above, the court found that the non-lead underwriters had relied exclusively on the lead underwriter, and, therefore, the court concluded, without discussion, that they were “bound” by the failure of the lead underwriter to establish its “due diligence”.  </w:t>
      </w:r>
      <w:r>
        <w:rPr>
          <w:i/>
          <w:iCs/>
        </w:rPr>
        <w:t>Id.</w:t>
      </w:r>
      <w:r>
        <w:rPr/>
        <w:t xml:space="preserve">   The court concluded that, in view of its conclusion that the “due diligence” of the lead was inadequate, it need not address the question of whether the non-lead underwriters “would have been protected” if the lead had established its “due diligence” defense.   </w:t>
      </w:r>
      <w:r>
        <w:rPr>
          <w:i/>
          <w:iCs/>
        </w:rPr>
        <w:t>Id.</w:t>
      </w:r>
      <w:r>
        <w:rPr/>
        <w:t xml:space="preserve"> at 697, n. 26.  Similarly, since the non-lead underwriters had done “nothing”, the court did not address the question of whether the non-lead underwriters would have been protected if they had either conducted an independent investigation of the underlying facts or had taken steps to satisfy themselves that the lead had conducted such an investigation.  </w:t>
      </w:r>
    </w:p>
    <w:p>
      <w:pPr>
        <w:pStyle w:val="BodyText"/>
        <w:rPr/>
      </w:pPr>
      <w:r>
        <w:rPr/>
        <w:t xml:space="preserve">Although the </w:t>
      </w:r>
      <w:r>
        <w:rPr>
          <w:i/>
          <w:iCs/>
        </w:rPr>
        <w:t>BarChris</w:t>
      </w:r>
      <w:r>
        <w:rPr/>
        <w:t xml:space="preserve"> has been the subject of extensive commentary, most of that commentary has focused on the primary holding in the case, i.e. the question of what steps underwriters must take in order to satisfy their “due diligence” obligations in light of the court’s holding that they must independently verify what they are being told by management.  </w:t>
      </w:r>
      <w:r>
        <w:rPr>
          <w:i/>
          <w:iCs/>
        </w:rPr>
        <w:t>See e.g.,</w:t>
      </w:r>
      <w:r>
        <w:rPr/>
        <w:t xml:space="preserve"> William F. Alderman &amp; John Kanberg, </w:t>
      </w:r>
      <w:r>
        <w:rPr>
          <w:i/>
          <w:iCs/>
        </w:rPr>
        <w:t>Due Diligence in the Securities Litigation Reform Era:  Practical Tips From Litigators on the Effective Conduct, Documentation and Defense of Underwriter Investigation,</w:t>
      </w:r>
      <w:r>
        <w:rPr/>
        <w:t xml:space="preserve"> 1176 PLI/Corp. 177 (2000).</w:t>
      </w:r>
      <w:r>
        <w:rPr>
          <w:rStyle w:val="FootnoteCharacters"/>
          <w:rStyle w:val="FootnoteReference"/>
        </w:rPr>
        <w:footnoteReference w:id="9"/>
      </w:r>
      <w:r>
        <w:rPr/>
        <w:t xml:space="preserve">  See also, Gary M. Lawrence, </w:t>
      </w:r>
      <w:r>
        <w:rPr>
          <w:i/>
          <w:iCs/>
        </w:rPr>
        <w:t>Due Diligence in</w:t>
      </w:r>
      <w:r>
        <w:rPr/>
        <w:t xml:space="preserve"> </w:t>
      </w:r>
      <w:r>
        <w:rPr>
          <w:i/>
          <w:iCs/>
        </w:rPr>
        <w:t>Business Transactions</w:t>
      </w:r>
      <w:r>
        <w:rPr/>
        <w:t xml:space="preserve">, Section 2.02 (Law Journal Press 2000) (commenting on </w:t>
      </w:r>
      <w:r>
        <w:rPr>
          <w:i/>
          <w:iCs/>
        </w:rPr>
        <w:t>BarChris</w:t>
      </w:r>
      <w:r>
        <w:rPr/>
        <w:t xml:space="preserve"> and stating that “[a] flagrant lack of investigation on the part of the attorneys and underwriters, not a lofty investigatory standard promulgated by the court prevented these parties from establishing a due diligence defense”).   The court’s finding that the “do nothing” non-lead underwriters were also liable, although not a major holding in the case, has also been the subject of considerably commentary.  </w:t>
      </w:r>
      <w:r>
        <w:rPr>
          <w:i/>
          <w:iCs/>
        </w:rPr>
        <w:t>See e.g.,</w:t>
      </w:r>
      <w:r>
        <w:rPr/>
        <w:t xml:space="preserve"> Folk, Part II, </w:t>
      </w:r>
      <w:r>
        <w:rPr>
          <w:i/>
          <w:iCs/>
        </w:rPr>
        <w:t xml:space="preserve">supra; Ernest L. Folk, III. Civil Liabilities Under the Federal Securities Acts:  The BarChris Case, Part I, </w:t>
      </w:r>
      <w:r>
        <w:rPr/>
        <w:t xml:space="preserve"> 55 Virg. L. Rev. 1 (1969) (hereinafter “Folk, Part I”); Note, </w:t>
      </w:r>
      <w:r>
        <w:rPr>
          <w:i/>
          <w:iCs/>
        </w:rPr>
        <w:t>The Expanding Liability of Securities Underwriters:  From BarChris to Globus</w:t>
      </w:r>
      <w:r>
        <w:rPr/>
        <w:t xml:space="preserve">, 1969 Duke L. J. 1191 (1969) (hereinafter “Duke Note”).   These commentators, however, have not really addressed the question of how a non-lead underwriter can escape the consequences of inadequate “due diligence” by the lead.  Instead, they have focused on the question left unanswered by </w:t>
      </w:r>
      <w:r>
        <w:rPr>
          <w:i/>
          <w:iCs/>
        </w:rPr>
        <w:t>BarChris, i.e.</w:t>
      </w:r>
      <w:r>
        <w:rPr/>
        <w:t xml:space="preserve"> to what extent can non-lead underwriters satisfy their own “due diligence” obligations by relying on the </w:t>
      </w:r>
      <w:r>
        <w:rPr>
          <w:i/>
          <w:iCs/>
        </w:rPr>
        <w:t xml:space="preserve">sufficient </w:t>
      </w:r>
      <w:r>
        <w:rPr/>
        <w:t xml:space="preserve">diligence of the lead or, are they required, even in that circumstance to conduct independent diligence.  </w:t>
      </w:r>
      <w:r>
        <w:rPr>
          <w:i/>
          <w:iCs/>
        </w:rPr>
        <w:t>See e.g.,</w:t>
      </w:r>
      <w:r>
        <w:rPr/>
        <w:t xml:space="preserve"> Folk, Part I, </w:t>
      </w:r>
      <w:r>
        <w:rPr>
          <w:i/>
          <w:iCs/>
        </w:rPr>
        <w:t xml:space="preserve">supra </w:t>
      </w:r>
      <w:r>
        <w:rPr/>
        <w:t xml:space="preserve">at 56-58 (recognizing that requiring independent inquiries by non-lead underwriters might occasionally “dredge up” some additional facts, but concluding that “the margin of improvement probably would not warrant the expense and confusion of proliferating inquiries”); Duke Note, </w:t>
      </w:r>
      <w:r>
        <w:rPr>
          <w:i/>
          <w:iCs/>
        </w:rPr>
        <w:t xml:space="preserve">supra </w:t>
      </w:r>
      <w:r>
        <w:rPr/>
        <w:t>at 1205-1216.</w:t>
      </w:r>
      <w:r>
        <w:rPr>
          <w:rStyle w:val="FootnoteCharacters"/>
          <w:rStyle w:val="FootnoteReference"/>
        </w:rPr>
        <w:footnoteReference w:id="10"/>
      </w:r>
    </w:p>
    <w:p>
      <w:pPr>
        <w:pStyle w:val="OutlineL2"/>
        <w:numPr>
          <w:ilvl w:val="1"/>
          <w:numId w:val="1"/>
        </w:numPr>
        <w:ind w:hanging="0" w:start="0"/>
        <w:rPr/>
      </w:pPr>
      <w:r>
        <w:rPr>
          <w:b/>
          <w:caps/>
        </w:rPr>
        <w:t>In re Gap Stores Securities Litigation</w:t>
      </w:r>
    </w:p>
    <w:p>
      <w:pPr>
        <w:pStyle w:val="BodyText"/>
        <w:rPr/>
      </w:pPr>
      <w:r>
        <w:rPr/>
        <w:t xml:space="preserve">Although </w:t>
      </w:r>
      <w:r>
        <w:rPr>
          <w:i/>
          <w:iCs/>
        </w:rPr>
        <w:t xml:space="preserve">BarChris </w:t>
      </w:r>
      <w:r>
        <w:rPr/>
        <w:t xml:space="preserve">is citied frequently for its holding that “due diligence” requires an independent verification by the underwriters, it has been cited only once for its specific holding that a “do nothing” non-lead underwriter is bound by the inadequacies of the lead’s “due diligence”.  </w:t>
      </w:r>
      <w:r>
        <w:rPr>
          <w:i/>
          <w:iCs/>
        </w:rPr>
        <w:t>In re Gap Stores Sec. Litig.</w:t>
      </w:r>
      <w:r>
        <w:rPr/>
        <w:t>, 79 F.R.F. 283, 299-300 (N.D.Cal. 1978).</w:t>
      </w:r>
      <w:r>
        <w:rPr>
          <w:rStyle w:val="FootnoteCharacters"/>
          <w:rStyle w:val="FootnoteReference"/>
        </w:rPr>
        <w:footnoteReference w:id="11"/>
      </w:r>
      <w:r>
        <w:rPr/>
        <w:t xml:space="preserve">  In the </w:t>
      </w:r>
      <w:r>
        <w:rPr>
          <w:i/>
          <w:iCs/>
        </w:rPr>
        <w:t xml:space="preserve">Gap </w:t>
      </w:r>
      <w:r>
        <w:rPr/>
        <w:t xml:space="preserve">case, the plaintiffs moved to certify a defendant class of underwriters.  In determining whether questions of law or fact common to the underwriter class predominated over questions affecting only individual underwriters, the court discussed, in some detail, the “due diligence” defense available to the individual defendant underwriters.  The defendants argued that the individual “due diligence” defenses of each non-lead underwriter made class treatment inappropriate.  The plaintiffs argued that the “due diligence” issue was a common one, turning largely on what the lead underwriter had done.  Acknowledging that typically the “due diligence” of the lead underwriter would be paramount as was the case in </w:t>
      </w:r>
      <w:r>
        <w:rPr>
          <w:i/>
          <w:iCs/>
        </w:rPr>
        <w:t>BarChris</w:t>
      </w:r>
      <w:r>
        <w:rPr/>
        <w:t xml:space="preserve">, the court in </w:t>
      </w:r>
      <w:r>
        <w:rPr>
          <w:i/>
          <w:iCs/>
        </w:rPr>
        <w:t xml:space="preserve">Gap </w:t>
      </w:r>
      <w:r>
        <w:rPr/>
        <w:t xml:space="preserve">found that the “due diligence” defense was, nonetheless, “a personal one” and each participant was entitled to assert it independently for whatever it was worth.  </w:t>
      </w:r>
      <w:r>
        <w:rPr>
          <w:i/>
          <w:iCs/>
        </w:rPr>
        <w:t>Id</w:t>
      </w:r>
      <w:r>
        <w:rPr/>
        <w:t xml:space="preserve">. at 302.  The court observed that if the lead underwriter had not met its “due diligence” obligations, the non-lead underwriters might be “hard pressed to exonerate themselves.  </w:t>
      </w:r>
      <w:r>
        <w:rPr>
          <w:i/>
          <w:iCs/>
        </w:rPr>
        <w:t xml:space="preserve">Id.  </w:t>
      </w:r>
      <w:r>
        <w:rPr/>
        <w:t xml:space="preserve">However, the court found that, even where the lead had failed, the non-lead underwriter could still escape liability by demonstrating that the non-lead had made an independent investigation satisfying the “due diligence” requirement or by demonstrating that  “a reasonable investigation of the manager’s methods” had been conducted.  </w:t>
      </w:r>
      <w:r>
        <w:rPr>
          <w:i/>
          <w:iCs/>
        </w:rPr>
        <w:t>Id.</w:t>
      </w:r>
      <w:r>
        <w:rPr/>
        <w:t xml:space="preserve">  The court stated that if the non-lead had elected to investigate the lead’s methods, he faced “the unenviable task of demonstrating how his investigation failed to uncover the [lead’s] lack of diligence, except, of course, where the participant has been the victim of the manager’s fraud.”  </w:t>
      </w:r>
      <w:r>
        <w:rPr>
          <w:i/>
          <w:iCs/>
        </w:rPr>
        <w:t>Id</w:t>
      </w:r>
      <w:r>
        <w:rPr/>
        <w:t xml:space="preserve">.  Finding that, in most instances, the interests of the lead and the non-lead would be identical, the court, in the end, concluded that class treatment was appropriate.  </w:t>
      </w:r>
      <w:r>
        <w:rPr>
          <w:i/>
          <w:iCs/>
        </w:rPr>
        <w:t>Id</w:t>
      </w:r>
      <w:r>
        <w:rPr/>
        <w:t xml:space="preserve">. at 305.  However, the court was careful to reserve the right of each non-lead to “assert his individual defense before the trier of fact” in the event a determination of the lead’s “due diligence” did not exonerate the non-lead.  </w:t>
      </w:r>
      <w:r>
        <w:rPr>
          <w:i/>
          <w:iCs/>
        </w:rPr>
        <w:t>Id.</w:t>
      </w:r>
    </w:p>
    <w:p>
      <w:pPr>
        <w:pStyle w:val="BodyText"/>
        <w:rPr/>
      </w:pPr>
      <w:r>
        <w:rPr/>
        <w:t xml:space="preserve">The reasoning of the </w:t>
      </w:r>
      <w:r>
        <w:rPr>
          <w:i/>
          <w:iCs/>
        </w:rPr>
        <w:t>Gap</w:t>
      </w:r>
      <w:r>
        <w:rPr/>
        <w:t xml:space="preserve"> case has been followed in numerous later cases in which the court certifies a defendant class of underwriters, usually under Section 11.  </w:t>
      </w:r>
      <w:r>
        <w:rPr>
          <w:i/>
          <w:iCs/>
        </w:rPr>
        <w:t>In re Marion Merrell Dow, Inc., Sec. Litig.,</w:t>
      </w:r>
      <w:r>
        <w:rPr/>
        <w:t xml:space="preserve"> No. 92-0609-CV-W-6, 1994 WL 396190, *6 (W.D.Mo. 1994) (certifying a defendant class of underwriters but allowing for the separate resolution of individual issues regarding “due diligence”); </w:t>
      </w:r>
      <w:r>
        <w:rPr>
          <w:i/>
          <w:iCs/>
        </w:rPr>
        <w:t>Endo v. Albertine</w:t>
      </w:r>
      <w:r>
        <w:rPr/>
        <w:t xml:space="preserve">, 147 F.R.D.164, 171 (N.D.Ill. 1993) (certifying defendant class of underwriters but allowing for the separate resolution of individual issues regarding “due diligence”); </w:t>
      </w:r>
      <w:r>
        <w:rPr>
          <w:i/>
          <w:iCs/>
        </w:rPr>
        <w:t>In re Computer Memories Sec. Litig</w:t>
      </w:r>
      <w:r>
        <w:rPr/>
        <w:t xml:space="preserve">., 111 F.R.D. 675, 687 (N.D.Cal. 1986 (finding that “due diligence” is a separate issue but that it doesn’t defeat certification); </w:t>
      </w:r>
      <w:r>
        <w:rPr>
          <w:i/>
          <w:iCs/>
        </w:rPr>
        <w:t>Hammond for Hammond v. Hendrickson</w:t>
      </w:r>
      <w:r>
        <w:rPr/>
        <w:t xml:space="preserve">, No. 85 C9829, 1986 WL 8437, *9-10 (N.D.Ill. 1986) (citing </w:t>
      </w:r>
      <w:r>
        <w:rPr>
          <w:i/>
          <w:iCs/>
        </w:rPr>
        <w:t>Gap,</w:t>
      </w:r>
      <w:r>
        <w:rPr/>
        <w:t xml:space="preserve"> certifying class of defendant underwriters, and stating that the independent “due diligence” defense requires showing that the non-lead either conducted a reasonable investigation of his own or a “reasonable investigation of the [lead’s] methods”); </w:t>
      </w:r>
      <w:r>
        <w:rPr>
          <w:i/>
          <w:iCs/>
        </w:rPr>
        <w:t>In re Consumers Powers Co., Sec. Litig.,</w:t>
      </w:r>
      <w:r>
        <w:rPr/>
        <w:t xml:space="preserve"> 105 F.R.D. 583, 612-13 &amp; 615 (E.D.Mich. 1985) (observing that since the lead is typically the only one responsible, the non-leads will usually “sink of swim” with the lead but acknowledging “the right of each [non-lead] to assert his individual defense”); </w:t>
      </w:r>
      <w:r>
        <w:rPr>
          <w:i/>
          <w:iCs/>
        </w:rPr>
        <w:t>In re Activision Sec. Litig.,</w:t>
      </w:r>
      <w:r>
        <w:rPr/>
        <w:t xml:space="preserve"> 621 F. Supp. 415, 434 &amp; 438 (N.D.Cal. 1985), </w:t>
      </w:r>
      <w:r>
        <w:rPr>
          <w:i/>
          <w:iCs/>
        </w:rPr>
        <w:t>reconsideration denied,</w:t>
      </w:r>
      <w:r>
        <w:rPr/>
        <w:t xml:space="preserve"> No. C-83-4639, 1985 WL 5827 (1985) (allowing certification of a defendant class of underwriters, stating that individual “due diligence” defense can be bifurcated); </w:t>
      </w:r>
      <w:r>
        <w:rPr>
          <w:i/>
          <w:iCs/>
        </w:rPr>
        <w:t>In re Itel Sec. Litig</w:t>
      </w:r>
      <w:r>
        <w:rPr/>
        <w:t xml:space="preserve">., 89 F.R.D. 104, 112-13 (N.D.Cal. 1981 ) (certifying defendant class of underwriters but allowing for the separate resolution of individual issues regarding “due diligence”).  </w:t>
      </w:r>
      <w:r>
        <w:rPr>
          <w:i/>
          <w:iCs/>
        </w:rPr>
        <w:t>See also, Mashburn v. National Healthcare, Inc</w:t>
      </w:r>
      <w:r>
        <w:rPr/>
        <w:t>. 684 F. Supp. 660, 668 (M.D.Ala. 1988) (citing as one of many reasons to approve a settlement, the fact that, at trial, the court would have had to address the “complex” issue of what liability the non-lead underwriters had for the “errors, omissions or deliberate fraud” of the lead).</w:t>
      </w:r>
    </w:p>
    <w:p>
      <w:pPr>
        <w:pStyle w:val="OutlineL2"/>
        <w:numPr>
          <w:ilvl w:val="1"/>
          <w:numId w:val="1"/>
        </w:numPr>
        <w:ind w:hanging="0" w:start="0"/>
        <w:rPr/>
      </w:pPr>
      <w:r>
        <w:rPr>
          <w:b/>
          <w:caps/>
        </w:rPr>
        <w:t>RULES, REGULATIONS AND RELEASES OF THE SECURITIES AND EXCHANGE COMMISSION</w:t>
      </w:r>
    </w:p>
    <w:p>
      <w:pPr>
        <w:pStyle w:val="BodyText"/>
        <w:rPr/>
      </w:pPr>
      <w:r>
        <w:rPr/>
        <w:t xml:space="preserve">In 1972, in response to alleged problems in the “hot issue” market, the Securities and Exchange Commission issued a Release indicating that it was authorizing the submission of letters to the National Association of Securities Dealers, Inc. (NASD) asking the NASD to consider adopting standards and guidelines pertaining to “due diligence”.  Securities and Exchange Commission, Securities Act of 1933 Release No. 5275, Securities Exchange Act of 1934 Release No. 9671 (July 26, 1972) (hereinafter “Release 5275”).  In Release 5275, the Commission stated that, although it believed it had authority to adopt standards as to “due diligence”, it had decided, instead, to simply set forth its “general views” on the subject and to allow the self-regulatory agencies a first opportunity to adopt such standards regulating their members.  In the attached materials setting forth these views, the Commission says: </w:t>
      </w:r>
    </w:p>
    <w:p>
      <w:pPr>
        <w:pStyle w:val="BodyTextIndent"/>
        <w:rPr/>
      </w:pPr>
      <w:r>
        <w:rPr/>
        <w:t>The participating underwriter’s reasonable investigation may not be as heavy a burden as that of the managing underwriter’s [footnote omitted] and, in making a reasonable investigation, the participating underwriter need not duplicate the investigation made by the manager.  The participant may delegate the performance of the investigation to the manager. [footnote omitted]</w:t>
      </w:r>
    </w:p>
    <w:p>
      <w:pPr>
        <w:pStyle w:val="BodyTextIndent"/>
        <w:rPr/>
      </w:pPr>
      <w:r>
        <w:rPr/>
        <w:t>Even though the participant may appoint the manager as his agent to do the investigation, it is important to understand that the delegation to the manager and the subsequent reliance on his investigation must be “reasonable in light of all the circumstances.” [footnote omitted]  This means that the participant may relieve himself of the task of actually verifying the representations in the registration statement, but that he must satisfy himself that the managing underwriter makes the kind of investigation the participant would have performed if he were the manager.</w:t>
      </w:r>
    </w:p>
    <w:p>
      <w:pPr>
        <w:pStyle w:val="margin"/>
        <w:rPr/>
      </w:pPr>
      <w:r>
        <w:rPr/>
        <w:t xml:space="preserve">Release 5275, p.11-12.  Relying, in part, on the </w:t>
      </w:r>
      <w:r>
        <w:rPr>
          <w:i w:val="false"/>
          <w:iCs w:val="false"/>
        </w:rPr>
        <w:t xml:space="preserve">BarChris </w:t>
      </w:r>
      <w:r>
        <w:rPr/>
        <w:t xml:space="preserve">case, the Commission cited, as justifying the distinction between lead and non-lead underwriters, the fact that the non-lead receives a smaller compensation, that the non-lead is not as important in the distribution scheme, that the public looks more to the lead for protection, and that the non-lead has less access to the issuer and its records.  </w:t>
      </w:r>
      <w:r>
        <w:rPr>
          <w:i w:val="false"/>
          <w:iCs w:val="false"/>
        </w:rPr>
        <w:t>Id.</w:t>
      </w:r>
      <w:r>
        <w:rPr/>
        <w:t xml:space="preserve"> at p.11, n.27.  In response to the request by the Securities and Exchange Commission, the NASD issued various proposals on the subject; however, none of these proposals were adopted as regulations.  </w:t>
      </w:r>
      <w:r>
        <w:rPr>
          <w:i w:val="false"/>
          <w:iCs w:val="false"/>
        </w:rPr>
        <w:t>See,</w:t>
      </w:r>
      <w:r>
        <w:rPr/>
        <w:t xml:space="preserve"> Note, </w:t>
      </w:r>
      <w:r>
        <w:rPr>
          <w:i w:val="false"/>
          <w:iCs w:val="false"/>
        </w:rPr>
        <w:t>The Role of Contribution in Determining Underwriters’ Liability Under Section 11 of the Securities Act of 1933</w:t>
      </w:r>
      <w:r>
        <w:rPr/>
        <w:t xml:space="preserve">, </w:t>
      </w:r>
      <w:r>
        <w:rPr>
          <w:i w:val="false"/>
          <w:iCs w:val="false"/>
        </w:rPr>
        <w:t>supra,</w:t>
      </w:r>
      <w:r>
        <w:rPr/>
        <w:t xml:space="preserve"> at 85, n. 42 (discussing Release 5275 and describing the NASD proposals); Lawrence, </w:t>
      </w:r>
      <w:r>
        <w:rPr>
          <w:i w:val="false"/>
          <w:iCs w:val="false"/>
        </w:rPr>
        <w:t>supra,</w:t>
      </w:r>
      <w:r>
        <w:rPr/>
        <w:t xml:space="preserve"> Section 1.04 [1] (indicating that the NASD proposals made pursuant to Release 5275 were never adopted).  Release 5275 has been cited by the courts only once in the </w:t>
      </w:r>
      <w:r>
        <w:rPr>
          <w:i w:val="false"/>
          <w:iCs w:val="false"/>
        </w:rPr>
        <w:t xml:space="preserve">Gap </w:t>
      </w:r>
      <w:r>
        <w:rPr/>
        <w:t xml:space="preserve">case; however, as indicated above it has been discussed by the commentators. </w:t>
      </w:r>
    </w:p>
    <w:p>
      <w:pPr>
        <w:pStyle w:val="BodyText"/>
        <w:rPr/>
      </w:pPr>
      <w:r>
        <w:rPr/>
        <w:t>In 1982, a regulation was adopted by the Securities and Exchange Commission setting forth the “[c]ircumstances affecting the determination of what constitutes reasonable investigation and reasonable grounds for belief under Section 11 of the Securities Act”.  17. C.F.R. Section 230.176.  Relevant circumstances to be considered in making this decision as to “underwriters” include “the type of underwriting arrangement, the role of the particular person as an underwriter and the availability of information with respect to the registrant.”  17 C.F.R. Section 230.176(g).  The regulation does not otherwise speak to the issue of lead and non-lead underwriters.</w:t>
      </w:r>
    </w:p>
    <w:p>
      <w:pPr>
        <w:pStyle w:val="OutlineL2"/>
        <w:numPr>
          <w:ilvl w:val="1"/>
          <w:numId w:val="1"/>
        </w:numPr>
        <w:ind w:hanging="0" w:start="0"/>
        <w:rPr/>
      </w:pPr>
      <w:r>
        <w:rPr>
          <w:b/>
          <w:caps/>
        </w:rPr>
        <w:t>SECTIONS 25401 AND 25501 – RETURNING TO THE ISSUES</w:t>
      </w:r>
    </w:p>
    <w:p>
      <w:pPr>
        <w:pStyle w:val="BodyText"/>
        <w:rPr/>
      </w:pPr>
      <w:r>
        <w:rPr/>
        <w:t>As indicated above, there is simply no authority under Sections 25401 and 25501 that addresses either of the original issues, i.e. (1) can a non-lead underwriter establish a “due diligence” defense under Section 2550l of the California Corporation Code by relying on the “due diligence” of the lead underwriter? and (2)  where the non-lead underwriter has relied in whole or in part on the “due diligence” of the lead underwriter and that “due diligence” has been found to be insufficient under Section 2550l, can the non-lead underwriter still present an independent “due diligence” defense and, if so, on what basis?</w:t>
      </w:r>
    </w:p>
    <w:p>
      <w:pPr>
        <w:pStyle w:val="BodyText"/>
        <w:rPr/>
      </w:pPr>
      <w:r>
        <w:rPr/>
        <w:t>Applying the principles discussed above that have been developed under federal law, it seems likely that (1) a non-lead underwriter can rely on the diligence of the lead, except that if the non-lead does “nothing” and the lead’s “due diligence” is found to be inadequate, the non-lead will be bound by it, and (2) a non-lead underwriter who either has done its own adequate due diligence or has taken reasonable steps to verify the methods of diligence completed by the lead, will be free to present its own “due diligence” defense even if the lead’s diligence is found inadequate.</w:t>
      </w:r>
    </w:p>
    <w:p>
      <w:pPr>
        <w:pStyle w:val="BodyText"/>
        <w:rPr/>
      </w:pPr>
      <w:r>
        <w:rPr/>
        <w:t xml:space="preserve">Under the </w:t>
      </w:r>
      <w:r>
        <w:rPr>
          <w:i/>
          <w:iCs/>
        </w:rPr>
        <w:t>Gap</w:t>
      </w:r>
      <w:r>
        <w:rPr/>
        <w:t xml:space="preserve"> case, in the event, the non-lead presents its own diligence defense, by verifying the methods of the lead it will have to show that it acted reasonably or that it was defrauded.  Exactly what the non-lead will have to do to verify the methods of the lead is not clear.  For example, can the non-lead take at “face value” what it is told by the lead regarding its methods or must it verify such information (just as the lead must verify what it is told by the management).  Arguably, such verification is not necessary since the information provided by the lead is less likely to be “self-serving” or “unduly enthusiastic” (as is the case with management).   </w:t>
      </w:r>
      <w:r>
        <w:rPr>
          <w:i/>
          <w:iCs/>
        </w:rPr>
        <w:t>See, Escott v. BarChris Const. Corp.,</w:t>
      </w:r>
      <w:r>
        <w:rPr/>
        <w:t xml:space="preserve"> 283 F. Supp. at 696-97.  Again, neither federal nor California authority was identified on this point.</w:t>
      </w:r>
      <w:r>
        <w:rPr>
          <w:rStyle w:val="FootnoteCharacters"/>
          <w:rStyle w:val="FootnoteReference"/>
        </w:rPr>
        <w:footnoteReference w:id="12"/>
      </w:r>
      <w:r>
        <w:rPr/>
        <w:t xml:space="preserve">  </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1">
              <wp:simplePos x="0" y="0"/>
              <wp:positionH relativeFrom="margin">
                <wp:posOffset>0</wp:posOffset>
              </wp:positionH>
              <wp:positionV relativeFrom="paragraph">
                <wp:posOffset>635</wp:posOffset>
              </wp:positionV>
              <wp:extent cx="5943600" cy="139700"/>
              <wp:effectExtent l="0" t="0" r="0" b="0"/>
              <wp:wrapNone/>
              <wp:docPr id="1"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567858_1.DOC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567858_1.DOC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39700"/>
              <wp:effectExtent l="0" t="0" r="0" b="0"/>
              <wp:wrapNone/>
              <wp:docPr id="2"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567858_1.DOC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567858_1.DOC</w:t>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 xml:space="preserve">The principal underwriter is referred to in this Memorandum as the “lead” underwriter and the others are referred to as the “non-lead” underwriters.  The cases and commentators sometimes refer to the principal underwriter as the “managing” underwriter and to the non-lead underwriters as “participants” or “participating” underwriters.  </w:t>
      </w:r>
      <w:r>
        <w:rPr>
          <w:i/>
          <w:iCs/>
        </w:rPr>
        <w:t>See e.g.,</w:t>
      </w:r>
      <w:r>
        <w:rPr/>
        <w:t xml:space="preserve"> Note, </w:t>
      </w:r>
      <w:r>
        <w:rPr>
          <w:i/>
          <w:iCs/>
        </w:rPr>
        <w:t>The Role of Contribution in Determining Underwriters’ Liability Under Section 11 of the Securities Act of 1933</w:t>
      </w:r>
      <w:r>
        <w:rPr/>
        <w:t xml:space="preserve">, 63 Virg. L. Rev. 79, 82-83 (1977).   </w:t>
      </w:r>
    </w:p>
  </w:footnote>
  <w:footnote w:id="3">
    <w:p>
      <w:pPr>
        <w:pStyle w:val="FootnoteText"/>
        <w:rPr/>
      </w:pPr>
      <w:r>
        <w:rPr>
          <w:rStyle w:val="FootnoteCharacters"/>
        </w:rPr>
        <w:footnoteRef/>
      </w:r>
      <w:r>
        <w:rPr/>
        <w:tab/>
        <w:t xml:space="preserve">The NSM Securities Litigation involves a non-public offering, and the “underwriter” defendants are technically called “placement agents” or “initial purchasers”.  Research, however, revealed no authority for distinguishing between placement agents or initial purchasers and underwriters, and therefore, for ease of discussion, this Memorandum speaks in terms of underwriters, since this is the term typically used by both the commentators and the cases.  Arguably, the “due diligence” required of a  “placement agent” or an “initial purchaser” in a private offering should be less than that required of its counterparts in a public offering; however, no authority was found making this distinction.     </w:t>
      </w:r>
    </w:p>
  </w:footnote>
  <w:footnote w:id="4">
    <w:p>
      <w:pPr>
        <w:pStyle w:val="FootnoteText"/>
        <w:rPr/>
      </w:pPr>
      <w:r>
        <w:rPr>
          <w:rStyle w:val="FootnoteCharacters"/>
        </w:rPr>
        <w:footnoteRef/>
      </w:r>
      <w:r>
        <w:rPr/>
        <w:tab/>
        <w:t xml:space="preserve">It will be assumed for purposed of this discussion that the defendant did not, in fact, “know” of the untruth or omission and that the only issue is whether the defendant “exercised reasonable care”. </w:t>
      </w:r>
    </w:p>
  </w:footnote>
  <w:footnote w:id="5">
    <w:p>
      <w:pPr>
        <w:pStyle w:val="FootnoteText"/>
        <w:rPr/>
      </w:pPr>
      <w:r>
        <w:rPr>
          <w:rStyle w:val="FootnoteCharacters"/>
        </w:rPr>
        <w:footnoteRef/>
      </w:r>
      <w:r>
        <w:rPr/>
        <w:tab/>
        <w:t xml:space="preserve">Section 25501 imposes liability on both buyers and sellers whereas Section 12(2) of the 1933 Securities Act imposes liability only on sellers.  Marsh &amp; Volk, </w:t>
      </w:r>
      <w:r>
        <w:rPr>
          <w:i/>
          <w:iCs/>
        </w:rPr>
        <w:t>supra</w:t>
      </w:r>
      <w:r>
        <w:rPr/>
        <w:t>, Section 14.03 [1].</w:t>
      </w:r>
    </w:p>
  </w:footnote>
  <w:footnote w:id="6">
    <w:p>
      <w:pPr>
        <w:pStyle w:val="FootnoteText"/>
        <w:rPr/>
      </w:pPr>
      <w:r>
        <w:rPr>
          <w:rStyle w:val="FootnoteCharacters"/>
        </w:rPr>
        <w:footnoteRef/>
      </w:r>
      <w:r>
        <w:rPr/>
        <w:tab/>
        <w:t xml:space="preserve">See footnote 8, </w:t>
      </w:r>
      <w:r>
        <w:rPr>
          <w:i/>
          <w:iCs/>
        </w:rPr>
        <w:t>infra</w:t>
      </w:r>
      <w:r>
        <w:rPr/>
        <w:t xml:space="preserve">, for a discussion of the additional requirement under the “due diligence” provisions of Section 11 that a “reasonable” investigation be made and, the significance, if any, of this requirement.  Sections 25501 and 12(2) only require a “reasonable” belief in connection with their respective “due diligence” provisions; neither contains an express affirmative duty to make a “reasonable” investigation.  </w:t>
      </w:r>
    </w:p>
  </w:footnote>
  <w:footnote w:id="7">
    <w:p>
      <w:pPr>
        <w:pStyle w:val="FootnoteText"/>
        <w:rPr/>
      </w:pPr>
      <w:r>
        <w:rPr>
          <w:rStyle w:val="FootnoteCharacters"/>
        </w:rPr>
        <w:footnoteRef/>
      </w:r>
      <w:r>
        <w:rPr/>
        <w:tab/>
        <w:t>No systematic effort was made to identify cases from other states.  An “ALLSTATES” search was done to identify cases containing the word “underwriter!” in the same sentence as “due diligence”.  Twenty-two cases were identified and the most recent of these cases as well as all cases from New York and Delaware were reviewed; however, none of these cases were particularly helpful.</w:t>
      </w:r>
    </w:p>
  </w:footnote>
  <w:footnote w:id="8">
    <w:p>
      <w:pPr>
        <w:pStyle w:val="FootnoteText"/>
        <w:rPr/>
      </w:pPr>
      <w:r>
        <w:rPr>
          <w:rStyle w:val="FootnoteCharacters"/>
        </w:rPr>
        <w:footnoteRef/>
      </w:r>
      <w:r>
        <w:rPr/>
        <w:tab/>
        <w:t xml:space="preserve">Section 11 has a different standard of “due diligence” for parts of the registration statement “purporting to be made upon the authority of an expert”.  As to those parts, to establish “due diligence”, a person (other than the issuer) must show that such person “had no reasonable ground to believe and did not believe” that the expert portion contained either a misstatement or an omission.  Under Section 25501, as well as Section 12(2) of the 1933 Securities Act, the same “reasonable” standard governs an underwriter’s “due diligence” obligation both as to expert and non-expert portions of the offering memorandum or prospectus.  Requiring more “diligence”, however, with respect to expert matters under Sections 25501 and 12(2) than is required under Section 11 seems anomalous and, likely, a court would simply find that the “reasonable” standard of  Section 25501 (and Section 12(2)) requires less independent investigation of “expert” matters just as is the case under Section 11.  </w:t>
      </w:r>
      <w:r>
        <w:rPr>
          <w:i/>
          <w:iCs/>
        </w:rPr>
        <w:t>But see,</w:t>
      </w:r>
      <w:r>
        <w:rPr/>
        <w:t xml:space="preserve"> Ernest L. Folk, III, </w:t>
      </w:r>
      <w:r>
        <w:rPr>
          <w:i/>
          <w:iCs/>
        </w:rPr>
        <w:t>Civil Liabilities Under the Federal Securities Acts:  The BarChris Case</w:t>
      </w:r>
      <w:r>
        <w:rPr/>
        <w:t xml:space="preserve">, </w:t>
      </w:r>
      <w:r>
        <w:rPr>
          <w:i/>
          <w:iCs/>
        </w:rPr>
        <w:t>Part II The Broader Implications</w:t>
      </w:r>
      <w:r>
        <w:rPr/>
        <w:t xml:space="preserve">, 55 Virg. L. Rev. 199, 214 (1969) (describing the diligence required by the “reasonable” standard under Section 12(2) with respect to expert matters as arguably more onerous than that required under Section 11) (hereinafter “Folk, Part II”).   </w:t>
      </w:r>
    </w:p>
  </w:footnote>
  <w:footnote w:id="9">
    <w:p>
      <w:pPr>
        <w:pStyle w:val="FootnoteText"/>
        <w:rPr/>
      </w:pPr>
      <w:r>
        <w:rPr>
          <w:rStyle w:val="FootnoteCharacters"/>
        </w:rPr>
        <w:footnoteRef/>
      </w:r>
      <w:r>
        <w:rPr/>
        <w:tab/>
        <w:t xml:space="preserve">This Memorandum does not address the question of what specific steps must be taken to establish a “due diligence” defense.  Obviously, as the court said in </w:t>
      </w:r>
      <w:r>
        <w:rPr>
          <w:i/>
          <w:iCs/>
        </w:rPr>
        <w:t>BarChris,</w:t>
      </w:r>
      <w:r>
        <w:rPr/>
        <w:t xml:space="preserve"> “[i]t is a question of degree, a matter of judgment in each case.”  </w:t>
      </w:r>
      <w:r>
        <w:rPr>
          <w:i/>
          <w:iCs/>
        </w:rPr>
        <w:t>Escott v. BarChris Construction Corp.</w:t>
      </w:r>
      <w:r>
        <w:rPr/>
        <w:t xml:space="preserve"> 283 F. Supp at 697.  If further research is to be done on this particular issue, that research should review the following cases which were randomly identified in the course of researching this Memorandum:  </w:t>
      </w:r>
      <w:r>
        <w:rPr>
          <w:i/>
          <w:iCs/>
        </w:rPr>
        <w:t>In re International Rectifier Sec. Litig., No. CV 91-3357-RMT(BQRX),</w:t>
      </w:r>
      <w:r>
        <w:rPr/>
        <w:t xml:space="preserve"> 1997 WL 529600 (C.D.Cal. 1997); </w:t>
      </w:r>
      <w:r>
        <w:rPr>
          <w:i/>
          <w:iCs/>
        </w:rPr>
        <w:t>In re Software Toolworks, Inc. Sec. Litig</w:t>
      </w:r>
      <w:r>
        <w:rPr/>
        <w:t xml:space="preserve">., 789 F. Supp. 1489, 1495 (N.D.Cal. 1992) ( the degree of “due diligence” required on a particular matter is a mixed question of law and fact); </w:t>
      </w:r>
      <w:r>
        <w:rPr>
          <w:i/>
          <w:iCs/>
        </w:rPr>
        <w:t>Weinberger v. Jackson</w:t>
      </w:r>
      <w:r>
        <w:rPr/>
        <w:t xml:space="preserve">, Fed. Sec. L. Rptr., Para. 95,693 (N.D.Cal. 1990); </w:t>
      </w:r>
      <w:r>
        <w:rPr>
          <w:i/>
          <w:iCs/>
        </w:rPr>
        <w:t>Feit v. Leasco Data Processing Equipment Corp</w:t>
      </w:r>
      <w:r>
        <w:rPr/>
        <w:t xml:space="preserve">., 332 F. Supp. 544 (E.D.N.Y. 1971).  As indicated in the text, no case has addressed the question of what qualifies as “due diligence” under Sections 25401 and 25501.  One commentator, however, has opined that the requirement may not be as rigorous under Sections 25401 and 25501 as it is under Section 11 and, in particular, that underwriters may not always be required to independently verify facts reported to them.  Marsh &amp; Volk, </w:t>
      </w:r>
      <w:r>
        <w:rPr>
          <w:i/>
          <w:iCs/>
        </w:rPr>
        <w:t>supra,</w:t>
      </w:r>
      <w:r>
        <w:rPr/>
        <w:t xml:space="preserve"> Section 14.03 [3] [b] &amp; [c].  The Marsh &amp; Volk treatise argues that since Sections 25401 and 25501 contain no separate requirement that the responsible person(s) make a “reasonable” investigation but only that such person(s) exercise “reasonable” care, the “due diligence” required of such persons would not always require verification, even of facts reported by management.  This interpretation seems to be somewhat at odds both with the language of </w:t>
      </w:r>
      <w:r>
        <w:rPr>
          <w:i/>
          <w:iCs/>
        </w:rPr>
        <w:t>BarChris</w:t>
      </w:r>
      <w:r>
        <w:rPr/>
        <w:t xml:space="preserve"> and the general view that the standard of “due diligence” under Section 12(2), which, like Sections 25401 and 25501, does not separately require a “reasonable” investigation, is the same as under Section 11.  </w:t>
      </w:r>
      <w:r>
        <w:rPr>
          <w:i/>
          <w:iCs/>
        </w:rPr>
        <w:t>See, Sanders v. John Nuveen &amp; C.,</w:t>
      </w:r>
      <w:r>
        <w:rPr/>
        <w:t xml:space="preserve"> 619 F.2d 1222, 1228 (7</w:t>
      </w:r>
      <w:r>
        <w:rPr>
          <w:vertAlign w:val="superscript"/>
        </w:rPr>
        <w:t>th</w:t>
      </w:r>
      <w:r>
        <w:rPr/>
        <w:t xml:space="preserve"> Cir. 1980), </w:t>
      </w:r>
      <w:r>
        <w:rPr>
          <w:i/>
          <w:iCs/>
        </w:rPr>
        <w:t>cert. denied</w:t>
      </w:r>
      <w:r>
        <w:rPr/>
        <w:t xml:space="preserve">, 450 U.S. 1005 (1981).  </w:t>
      </w:r>
      <w:r>
        <w:rPr>
          <w:i/>
          <w:iCs/>
        </w:rPr>
        <w:t>See also,</w:t>
      </w:r>
      <w:r>
        <w:rPr/>
        <w:t xml:space="preserve"> Alderman &amp; Kanberg, </w:t>
      </w:r>
      <w:r>
        <w:rPr>
          <w:i/>
          <w:iCs/>
        </w:rPr>
        <w:t>supra</w:t>
      </w:r>
      <w:r>
        <w:rPr/>
        <w:t xml:space="preserve">, 186, n. 9. And even Marsh &amp; Volk concede that their argument regarding Sections 25401 and 25501 goes only so far, i.e. “obviously, there may be situations in which a reasonable person would not merely accept the unverified statements of other persons without some independent personal investigation…”  Marsh &amp; Volk, </w:t>
      </w:r>
      <w:r>
        <w:rPr>
          <w:i/>
          <w:iCs/>
        </w:rPr>
        <w:t>supra</w:t>
      </w:r>
      <w:r>
        <w:rPr/>
        <w:t xml:space="preserve">, Section 14.03 [3] [c].    </w:t>
      </w:r>
    </w:p>
    <w:p>
      <w:pPr>
        <w:pStyle w:val="FootnoteTextMore"/>
        <w:rPr/>
      </w:pPr>
      <w:r>
        <w:rPr/>
        <w:t xml:space="preserve">   </w:t>
      </w:r>
    </w:p>
  </w:footnote>
  <w:footnote w:id="10">
    <w:p>
      <w:pPr>
        <w:pStyle w:val="FootnoteText"/>
        <w:rPr/>
      </w:pPr>
      <w:r>
        <w:rPr>
          <w:rStyle w:val="FootnoteCharacters"/>
        </w:rPr>
        <w:footnoteRef/>
      </w:r>
      <w:r>
        <w:rPr/>
        <w:tab/>
        <w:t xml:space="preserve">The </w:t>
      </w:r>
      <w:r>
        <w:rPr>
          <w:i/>
          <w:iCs/>
        </w:rPr>
        <w:t xml:space="preserve">Gap </w:t>
      </w:r>
      <w:r>
        <w:rPr/>
        <w:t xml:space="preserve">case, discussed in Section IIIB, </w:t>
      </w:r>
      <w:r>
        <w:rPr>
          <w:i/>
          <w:iCs/>
        </w:rPr>
        <w:t>infra</w:t>
      </w:r>
      <w:r>
        <w:rPr/>
        <w:t xml:space="preserve">, addresses the issue left open by </w:t>
      </w:r>
      <w:r>
        <w:rPr>
          <w:i/>
          <w:iCs/>
        </w:rPr>
        <w:t>BarChris,</w:t>
      </w:r>
      <w:r>
        <w:rPr/>
        <w:t xml:space="preserve"> and concludes that the non-leads are entitled to “delegate” their “due diligence” responsibilities to the lead.  </w:t>
      </w:r>
      <w:r>
        <w:rPr>
          <w:i/>
          <w:iCs/>
        </w:rPr>
        <w:t>In re Gap Stores Sec. Litig</w:t>
      </w:r>
      <w:r>
        <w:rPr/>
        <w:t>., 79 F.R.D. 283, 301 (N.C.Cal. 1978).</w:t>
      </w:r>
    </w:p>
  </w:footnote>
  <w:footnote w:id="11">
    <w:p>
      <w:pPr>
        <w:pStyle w:val="FootnoteText"/>
        <w:rPr/>
      </w:pPr>
      <w:r>
        <w:rPr>
          <w:rStyle w:val="FootnoteCharacters"/>
        </w:rPr>
        <w:footnoteRef/>
      </w:r>
      <w:r>
        <w:rPr/>
        <w:tab/>
        <w:t xml:space="preserve">The </w:t>
      </w:r>
      <w:r>
        <w:rPr>
          <w:i/>
          <w:iCs/>
        </w:rPr>
        <w:t xml:space="preserve">Gap </w:t>
      </w:r>
      <w:r>
        <w:rPr/>
        <w:t xml:space="preserve">case as well as the cases following </w:t>
      </w:r>
      <w:r>
        <w:rPr>
          <w:i/>
          <w:iCs/>
        </w:rPr>
        <w:t xml:space="preserve">Gap, </w:t>
      </w:r>
      <w:r>
        <w:rPr/>
        <w:t xml:space="preserve">set forth, </w:t>
      </w:r>
      <w:r>
        <w:rPr>
          <w:i/>
          <w:iCs/>
        </w:rPr>
        <w:t>infra,</w:t>
      </w:r>
      <w:r>
        <w:rPr/>
        <w:t xml:space="preserve"> in the text, all arise under Section 11 of the 1933 Securities Act.  Certain of the cases also involve Section 12(2) claims in connection with which a class is certified limited to the issue of whether there exists an actionable misstatement or omission.  None of the cases discuss the diligence requirement under Sections 25401 or 25501.</w:t>
      </w:r>
    </w:p>
  </w:footnote>
  <w:footnote w:id="12">
    <w:p>
      <w:pPr>
        <w:pStyle w:val="FootnoteText"/>
        <w:rPr/>
      </w:pPr>
      <w:r>
        <w:rPr>
          <w:rStyle w:val="FootnoteCharacters"/>
        </w:rPr>
        <w:footnoteRef/>
      </w:r>
      <w:r>
        <w:rPr/>
        <w:tab/>
        <w:t xml:space="preserve">As to matters relating to the general requirement of “due diligence” under Sections 25401 and 25501 (as distinguished from matters relating specifically to “allocation” between lead and non-lead), there may be additional arguments open to the non-lead underwriters under California law case based (1) on the fact that this is a private and not a public offering, </w:t>
      </w:r>
      <w:r>
        <w:rPr>
          <w:i/>
          <w:iCs/>
        </w:rPr>
        <w:t>i.e.</w:t>
      </w:r>
      <w:r>
        <w:rPr/>
        <w:t xml:space="preserve"> the standard of diligence required in the former is arguably of a lesser magnitude given the nature of the offering and the character of the institutional purchasers, and/or (2) the legal argument that Sections 25401 and 25501, because they do not contain an affirmative requirement that a “reasonable investigation” be made, impose a lesser standard of diligence and/or permit the underwriter to rely on the representations of management without verification (such as is required by Section 11 under </w:t>
      </w:r>
      <w:r>
        <w:rPr>
          <w:i/>
          <w:iCs/>
        </w:rPr>
        <w:t>BarChris</w:t>
      </w:r>
      <w:r>
        <w:rPr/>
        <w:t xml:space="preserve">).  </w:t>
      </w:r>
      <w:r>
        <w:rPr>
          <w:i/>
          <w:iCs/>
        </w:rPr>
        <w:t xml:space="preserve">See </w:t>
      </w:r>
      <w:r>
        <w:rPr/>
        <w:t xml:space="preserve">discussion of this second argument in footnote 8, </w:t>
      </w:r>
      <w:r>
        <w:rPr>
          <w:i/>
          <w:iCs/>
        </w:rPr>
        <w:t>supra.</w:t>
      </w:r>
      <w:r>
        <w:rPr/>
        <w:t xml:space="preserve">  These issues are, however, beyond the scope of this Memorandum.  </w:t>
      </w:r>
    </w:p>
    <w:p>
      <w:pPr>
        <w:pStyle w:val="FootnoteTextMore"/>
        <w:rPr/>
      </w:pP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 to File</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10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spacing w:val="80"/>
        <w:sz w:val="32"/>
      </w:rPr>
    </w:pPr>
    <w:bookmarkStart w:id="0" w:name="zzmpFIXED_LHFirstPage"/>
    <w:bookmarkEnd w:id="0"/>
    <w:r>
      <w:rPr>
        <w:spacing w:val="80"/>
        <w:sz w:val="32"/>
      </w:rPr>
      <w:t>ALSCHULER GROSSMAN STEIN &amp; KAHAN LLP</w:t>
    </w:r>
  </w:p>
  <w:p>
    <w:pPr>
      <w:pStyle w:val="Letterhead"/>
      <w:spacing w:before="40" w:after="0"/>
      <w:rPr>
        <w:spacing w:val="80"/>
        <w:sz w:val="22"/>
      </w:rPr>
    </w:pPr>
    <w:r>
      <w:rPr>
        <w:spacing w:val="80"/>
        <w:sz w:val="22"/>
      </w:rPr>
      <w:t>ATTORNEYS AT LAW</w:t>
    </w:r>
  </w:p>
  <w:p>
    <w:pPr>
      <w:pStyle w:val="Header"/>
      <w:rPr>
        <w:spacing w:val="80"/>
        <w:sz w:val="22"/>
      </w:rPr>
    </w:pPr>
    <w:r>
      <w:rPr>
        <w:spacing w:val="80"/>
        <w:sz w:val="22"/>
      </w:rPr>
    </w:r>
    <w:bookmarkStart w:id="1" w:name="zzmpFIXED_LHFirstPage"/>
    <w:bookmarkStart w:id="2" w:name="zzmpFIXED_LHFirstPage"/>
    <w:bookmarkEnd w:id="2"/>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caps/>
        <w:sz w:val="24"/>
        <w:i w:val="false"/>
        <w:u w:val="none"/>
        <w:b/>
        <w:rFonts w:ascii="Times New Roman" w:hAnsi="Times New Roman" w:cs="Times New Roman"/>
        <w:color w:val="000000"/>
      </w:rPr>
    </w:lvl>
    <w:lvl w:ilvl="1">
      <w:start w:val="1"/>
      <w:numFmt w:val="upperLetter"/>
      <w:lvlText w:val="%2."/>
      <w:lvlJc w:val="start"/>
      <w:pPr>
        <w:tabs>
          <w:tab w:val="num" w:pos="1440"/>
        </w:tabs>
        <w:ind w:start="1440" w:hanging="720"/>
      </w:pPr>
      <w:rPr>
        <w:caps/>
        <w:sz w:val="24"/>
        <w:i w:val="false"/>
        <w:u w:val="none"/>
        <w:b/>
        <w:rFonts w:ascii="Times New Roman" w:hAnsi="Times New Roman" w:cs="Times New Roman"/>
        <w:color w:val="000000"/>
      </w:rPr>
    </w:lvl>
    <w:lvl w:ilvl="2">
      <w:start w:val="1"/>
      <w:numFmt w:val="decimal"/>
      <w:lvlText w:val="%3."/>
      <w:lvlJc w:val="start"/>
      <w:pPr>
        <w:tabs>
          <w:tab w:val="num" w:pos="2160"/>
        </w:tabs>
        <w:ind w:start="0" w:firstLine="1440"/>
      </w:pPr>
      <w:rPr>
        <w:smallCaps w:val="false"/>
        <w:caps w:val="false"/>
        <w:sz w:val="24"/>
        <w:i w:val="false"/>
        <w:u w:val="none"/>
        <w:b w:val="false"/>
        <w:rFonts w:ascii="Times New Roman" w:hAnsi="Times New Roman" w:cs="Times New Roman"/>
        <w:color w:val="000000"/>
      </w:rPr>
    </w:lvl>
    <w:lvl w:ilvl="3">
      <w:start w:val="1"/>
      <w:numFmt w:val="lowerLetter"/>
      <w:lvlText w:val="%4."/>
      <w:lvlJc w:val="start"/>
      <w:pPr>
        <w:tabs>
          <w:tab w:val="num" w:pos="2880"/>
        </w:tabs>
        <w:ind w:start="0" w:firstLine="2160"/>
      </w:pPr>
      <w:rPr>
        <w:smallCaps w:val="false"/>
        <w:caps w:val="false"/>
        <w:sz w:val="24"/>
        <w:i w:val="false"/>
        <w:u w:val="none"/>
        <w:b w:val="false"/>
        <w:rFonts w:ascii="Times New Roman" w:hAnsi="Times New Roman" w:cs="Times New Roman"/>
        <w:color w:val="000000"/>
      </w:rPr>
    </w:lvl>
    <w:lvl w:ilvl="4">
      <w:start w:val="1"/>
      <w:numFmt w:val="lowerRoman"/>
      <w:lvlText w:val="(%5)"/>
      <w:lvlJc w:val="start"/>
      <w:pPr>
        <w:tabs>
          <w:tab w:val="num" w:pos="3600"/>
        </w:tabs>
        <w:ind w:start="0" w:firstLine="2880"/>
      </w:pPr>
      <w:rPr>
        <w:smallCaps w:val="false"/>
        <w:caps w:val="false"/>
        <w:sz w:val="24"/>
        <w:i w:val="false"/>
        <w:u w:val="none"/>
        <w:b w:val="false"/>
        <w:rFonts w:ascii="Times New Roman" w:hAnsi="Times New Roman" w:cs="Times New Roman"/>
        <w:color w:val="000000"/>
      </w:rPr>
    </w:lvl>
    <w:lvl w:ilvl="5">
      <w:start w:val="1"/>
      <w:numFmt w:val="lowerLetter"/>
      <w:lvlText w:val="(%6)"/>
      <w:lvlJc w:val="start"/>
      <w:pPr>
        <w:tabs>
          <w:tab w:val="num" w:pos="4320"/>
        </w:tabs>
        <w:ind w:start="0" w:firstLine="3600"/>
      </w:pPr>
      <w:rPr>
        <w:smallCaps w:val="false"/>
        <w:caps w:val="false"/>
        <w:sz w:val="24"/>
        <w:i w:val="false"/>
        <w:u w:val="none"/>
        <w:b w:val="false"/>
        <w:rFonts w:ascii="Times New Roman" w:hAnsi="Times New Roman" w:cs="Times New Roman"/>
        <w:color w:val="000000"/>
      </w:rPr>
    </w:lvl>
    <w:lvl w:ilvl="6">
      <w:start w:val="1"/>
      <w:numFmt w:val="decimal"/>
      <w:lvlText w:val="(%7)"/>
      <w:lvlJc w:val="start"/>
      <w:pPr>
        <w:tabs>
          <w:tab w:val="num" w:pos="5040"/>
        </w:tabs>
        <w:ind w:start="0" w:firstLine="4320"/>
      </w:pPr>
      <w:rPr>
        <w:smallCaps w:val="false"/>
        <w:caps w:val="false"/>
        <w:sz w:val="24"/>
        <w:i w:val="false"/>
        <w:u w:val="none"/>
        <w:b w:val="false"/>
        <w:rFonts w:ascii="Times New Roman" w:hAnsi="Times New Roman" w:cs="Times New Roman"/>
        <w:color w:val="000000"/>
      </w:rPr>
    </w:lvl>
    <w:lvl w:ilvl="7">
      <w:start w:val="1"/>
      <w:numFmt w:val="lowerRoman"/>
      <w:lvlText w:val="%8)"/>
      <w:lvlJc w:val="start"/>
      <w:pPr>
        <w:tabs>
          <w:tab w:val="num" w:pos="5760"/>
        </w:tabs>
        <w:ind w:start="0" w:firstLine="5040"/>
      </w:pPr>
      <w:rPr>
        <w:smallCaps w:val="false"/>
        <w:caps w:val="false"/>
        <w:sz w:val="24"/>
        <w:i w:val="false"/>
        <w:u w:val="none"/>
        <w:b w:val="false"/>
        <w:rFonts w:ascii="Times New Roman" w:hAnsi="Times New Roman" w:cs="Times New Roman"/>
        <w:color w:val="000000"/>
      </w:rPr>
    </w:lvl>
    <w:lvl w:ilvl="8">
      <w:start w:val="1"/>
      <w:numFmt w:val="lowerLetter"/>
      <w:lvlText w:val="%9)"/>
      <w:lvlJc w:val="start"/>
      <w:pPr>
        <w:tabs>
          <w:tab w:val="num" w:pos="6480"/>
        </w:tabs>
        <w:ind w:start="0" w:firstLine="5760"/>
      </w:pPr>
      <w:rPr>
        <w:smallCaps w:val="false"/>
        <w:caps w:val="false"/>
        <w:sz w:val="24"/>
        <w:i w:val="false"/>
        <w:u w:val="none"/>
        <w:b w:val="false"/>
        <w:rFonts w:ascii="Times New Roman" w:hAnsi="Times New Roman" w:cs="Times New Roman"/>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pfile" w:val="Memo.mbp"/>
    <w:docVar w:name="DocStamp_1_DocID" w:val="C:\NrPortbl\Docs\SHOWARD\567858_1.DOC"/>
    <w:docVar w:name="DocStamp_1_IncludeDate" w:val="False"/>
    <w:docVar w:name="DocStamp_1_IncludeDraftText" w:val="False"/>
    <w:docVar w:name="DocStamp_1_IncludeTime" w:val="False"/>
    <w:docVar w:name="DocStamp_1_InsertDateAsField" w:val="False"/>
    <w:docVar w:name="DocStamp_1_TypeID" w:val="1"/>
    <w:docVar w:name="Memo_1_Alignment" w:val="0"/>
    <w:docVar w:name="Memo_1_Author" w:val="2231"/>
    <w:docVar w:name="Memo_1_ClientMatterNumber" w:val="12169-202244"/>
    <w:docVar w:name="Memo_1_DateType" w:val="mmmm d, yyyy"/>
    <w:docVar w:name="Memo_1_FirstLineIndent" w:val="1"/>
    <w:docVar w:name="Memo_1_FontName" w:val="Berkeley"/>
    <w:docVar w:name="Memo_1_FontSize" w:val="12"/>
    <w:docVar w:name="Memo_1_From" w:val="C. Stephen Howard"/>
    <w:docVar w:name="Memo_1_HeaderAdditionalText" w:val="File"/>
    <w:docVar w:name="Memo_1_IncludeDPhrasesInHeader" w:val="0"/>
    <w:docVar w:name="Memo_1_Recipients" w:val="File"/>
    <w:docVar w:name="Memo_1_Reline" w:val="Enron Cases"/>
    <w:docVar w:name="MemoLH_1_Author" w:val="2231"/>
    <w:docVar w:name="MemoLH_1_IncludeLetterheadEMail" w:val="-1"/>
    <w:docVar w:name="MemoLH_1_IncludeLetterheadFax" w:val="0"/>
    <w:docVar w:name="MemoLH_1_IncludeLetterheadName" w:val="-1"/>
    <w:docVar w:name="MemoLH_1_IncludeLetterheadPhone" w:val="-1"/>
    <w:docVar w:name="MemoLH_1_IncludeLetterheadTitle" w:val="-1"/>
    <w:docVar w:name="MemoLH_1_LetterheadEMail" w:val="showard@agsk.com"/>
    <w:docVar w:name="MemoLH_1_LetterheadFirmFax" w:val="310-552-6077"/>
    <w:docVar w:name="MemoLH_1_LetterheadFirmName" w:val="Alschuler Grossman Stein &amp; Kahan LLP"/>
    <w:docVar w:name="MemoLH_1_LetterheadFirmPhone" w:val="310-277-1226"/>
    <w:docVar w:name="MemoLH_1_LetterheadFirmURL" w:val="www.sflaw.com"/>
    <w:docVar w:name="MemoLH_1_LetterheadName" w:val="C. Stephen Howard"/>
    <w:docVar w:name="MemoLH_1_LetterheadPhone" w:val="310-407-7613"/>
    <w:docVar w:name="MemoLH_1_LetterheadTitle" w:val="Attorney At Law"/>
    <w:docVar w:name="MemoLH_1_LetterheadType" w:val="4"/>
    <w:docVar w:name="MPDocID" w:val="C:\NrPortbl\Docs\SHOWARD\567858_1.DOC"/>
    <w:docVar w:name="ReUseAuthor" w:val="2231|Howard, Steve|showard@agsk.com||Steve|C. Stephen Howard||CSH|2091\California Bar ID\43434\True|True|Howard||1|310-407-7613|Attorney At Law"/>
    <w:docVar w:name="ReuseAuthorOptions" w:val="fldID??-99999999|fldLastEditTime??1/20/00 5:38:25 PM|cmbLetterheadType??4|chkIncludeLetterheadName??-1|chkIncludeLetterheadPhone??-1|chkIncludeLetterheadEMail??-1|chkIncludeLetterheadTitle??-1|chkIncludeLetterheadFax??0|cmbDateType??mmmm d, yyyy|cmbBodyTextAlignment??0|spnBodyTextFirstLineIndent??1|cmbNormalFontName??Berkeley|spnNormalFontSize??12"/>
    <w:docVar w:name="zzmpFixed_MacPacVersion" w:val="9.0"/>
    <w:docVar w:name="zzmpFixedCurScheme" w:val="Outline"/>
    <w:docVar w:name="zzmpFixedCurScheme_9.0" w:val="2zzmpOutline"/>
    <w:docVar w:name="zzmpLTFontsClean" w:val="True"/>
    <w:docVar w:name="zzmpnSession" w:val="0.8451807"/>
    <w:docVar w:name="zzmpOutline" w:val="||Outline|2|3|1|1|0|9||1|0|9||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1z1">
    <w:name w:val="WW8Num11z1"/>
    <w:qFormat/>
    <w:rPr>
      <w:b/>
    </w:rPr>
  </w:style>
  <w:style w:type="character" w:styleId="WW8Num12z0">
    <w:name w:val="WW8Num12z0"/>
    <w:qFormat/>
    <w:rPr>
      <w:rFonts w:ascii="Times New Roman" w:hAnsi="Times New Roman" w:cs="Times New Roman"/>
      <w:b/>
      <w:i w:val="false"/>
      <w:caps/>
      <w:color w:val="000000"/>
      <w:sz w:val="24"/>
      <w:u w:val="none"/>
    </w:rPr>
  </w:style>
  <w:style w:type="character" w:styleId="WW8Num12z2">
    <w:name w:val="WW8Num12z2"/>
    <w:qFormat/>
    <w:rPr>
      <w:rFonts w:ascii="Times New Roman" w:hAnsi="Times New Roman" w:cs="Times New Roman"/>
      <w:b w:val="false"/>
      <w:i w:val="false"/>
      <w:caps w:val="false"/>
      <w:smallCaps w:val="false"/>
      <w:color w:val="000000"/>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spacing w:val="0"/>
      <w:u w:val="no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120" w:after="360"/>
      <w:jc w:val="center"/>
      <w:outlineLvl w:val="0"/>
    </w:pPr>
    <w:rPr>
      <w:b/>
      <w:caps/>
      <w:spacing w:val="40"/>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4"/>
    </w:rPr>
  </w:style>
  <w:style w:type="paragraph" w:styleId="BodyTextIndent">
    <w:name w:val="Body Text Indent"/>
    <w:basedOn w:val="Normal"/>
    <w:pPr>
      <w:spacing w:before="0" w:after="240"/>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blText">
    <w:name w:val="tbl Text"/>
    <w:basedOn w:val="Normal"/>
    <w:qFormat/>
    <w:pPr>
      <w:spacing w:before="0" w:after="120"/>
      <w:ind w:hanging="0" w:start="0" w:end="216"/>
    </w:pPr>
    <w:rPr/>
  </w:style>
  <w:style w:type="paragraph" w:styleId="MemoDate">
    <w:name w:val="Memo Date"/>
    <w:basedOn w:val="tblText"/>
    <w:qFormat/>
    <w:pPr/>
    <w:rPr/>
  </w:style>
  <w:style w:type="paragraph" w:styleId="tblHeading">
    <w:name w:val="tbl Heading"/>
    <w:basedOn w:val="tblText"/>
    <w:qFormat/>
    <w:pPr/>
    <w:rPr>
      <w:b/>
    </w:rPr>
  </w:style>
  <w:style w:type="paragraph" w:styleId="FootnoteTextMore">
    <w:name w:val="Footnote TextMore"/>
    <w:basedOn w:val="FootnoteText"/>
    <w:qFormat/>
    <w:pPr>
      <w:ind w:hanging="0" w:start="720" w:end="0"/>
    </w:pPr>
    <w:rPr/>
  </w:style>
  <w:style w:type="paragraph" w:styleId="margin">
    <w:name w:val="margin"/>
    <w:basedOn w:val="BodyTextIndent"/>
    <w:qFormat/>
    <w:pPr>
      <w:spacing w:before="0" w:after="240"/>
      <w:ind w:hanging="0" w:start="720" w:end="720"/>
    </w:pPr>
    <w:rPr>
      <w:i/>
      <w:iCs/>
    </w:rPr>
  </w:style>
  <w:style w:type="paragraph" w:styleId="Letterhead">
    <w:name w:val="Letterhead"/>
    <w:qFormat/>
    <w:pPr>
      <w:widowControl/>
      <w:tabs>
        <w:tab w:val="clear" w:pos="720"/>
        <w:tab w:val="center" w:pos="1886" w:leader="none"/>
      </w:tabs>
      <w:bidi w:val="0"/>
      <w:jc w:val="center"/>
    </w:pPr>
    <w:rPr>
      <w:rFonts w:ascii="Berkeley" w:hAnsi="Berkeley" w:eastAsia="Times New Roman" w:cs="Berkeley"/>
      <w:color w:val="auto"/>
      <w:spacing w:val="2"/>
      <w:sz w:val="16"/>
      <w:szCs w:val="20"/>
      <w:lang w:val="en-US" w:eastAsia="en-CA" w:bidi="ar-SA"/>
    </w:rPr>
  </w:style>
  <w:style w:type="paragraph" w:styleId="OutlineCont1">
    <w:name w:val="Outline Cont 1"/>
    <w:basedOn w:val="Normal"/>
    <w:qFormat/>
    <w:pPr>
      <w:spacing w:before="0" w:after="240"/>
    </w:pPr>
    <w:rPr/>
  </w:style>
  <w:style w:type="paragraph" w:styleId="OutlineCont2">
    <w:name w:val="Outline Cont 2"/>
    <w:basedOn w:val="OutlineCont1"/>
    <w:qFormat/>
    <w:pPr/>
    <w:rPr/>
  </w:style>
  <w:style w:type="paragraph" w:styleId="OutlineCont3">
    <w:name w:val="Outline Cont 3"/>
    <w:basedOn w:val="OutlineCont2"/>
    <w:qFormat/>
    <w:pPr/>
    <w:rPr/>
  </w:style>
  <w:style w:type="paragraph" w:styleId="OutlineCont4">
    <w:name w:val="Outline Cont 4"/>
    <w:basedOn w:val="OutlineCont3"/>
    <w:qFormat/>
    <w:pPr/>
    <w:rPr/>
  </w:style>
  <w:style w:type="paragraph" w:styleId="OutlineCont5">
    <w:name w:val="Outline Cont 5"/>
    <w:basedOn w:val="OutlineCont4"/>
    <w:qFormat/>
    <w:pPr/>
    <w:rPr/>
  </w:style>
  <w:style w:type="paragraph" w:styleId="OutlineCont6">
    <w:name w:val="Outline Cont 6"/>
    <w:basedOn w:val="OutlineCont5"/>
    <w:qFormat/>
    <w:pPr/>
    <w:rPr/>
  </w:style>
  <w:style w:type="paragraph" w:styleId="OutlineCont7">
    <w:name w:val="Outline Cont 7"/>
    <w:basedOn w:val="OutlineCont6"/>
    <w:qFormat/>
    <w:pPr/>
    <w:rPr/>
  </w:style>
  <w:style w:type="paragraph" w:styleId="OutlineCont8">
    <w:name w:val="Outline Cont 8"/>
    <w:basedOn w:val="OutlineCont7"/>
    <w:qFormat/>
    <w:pPr/>
    <w:rPr/>
  </w:style>
  <w:style w:type="paragraph" w:styleId="OutlineCont9">
    <w:name w:val="Outline Cont 9"/>
    <w:basedOn w:val="OutlineCont8"/>
    <w:qFormat/>
    <w:pPr/>
    <w:rPr/>
  </w:style>
  <w:style w:type="paragraph" w:styleId="OutlineL1">
    <w:name w:val="Outline_L1"/>
    <w:basedOn w:val="Normal"/>
    <w:next w:val="BodyText"/>
    <w:qFormat/>
    <w:pPr>
      <w:numPr>
        <w:ilvl w:val="0"/>
        <w:numId w:val="1"/>
      </w:numPr>
      <w:spacing w:before="0" w:after="240"/>
      <w:outlineLvl w:val="0"/>
    </w:pPr>
    <w:rPr/>
  </w:style>
  <w:style w:type="paragraph" w:styleId="OutlineL2">
    <w:name w:val="Outline_L2"/>
    <w:basedOn w:val="OutlineL1"/>
    <w:next w:val="BodyText"/>
    <w:qFormat/>
    <w:pPr>
      <w:numPr>
        <w:ilvl w:val="0"/>
        <w:numId w:val="1"/>
      </w:numPr>
      <w:outlineLvl w:val="1"/>
    </w:pPr>
    <w:rPr/>
  </w:style>
  <w:style w:type="paragraph" w:styleId="OutlineL3">
    <w:name w:val="Outline_L3"/>
    <w:basedOn w:val="OutlineL2"/>
    <w:next w:val="BodyText"/>
    <w:qFormat/>
    <w:pPr>
      <w:numPr>
        <w:ilvl w:val="0"/>
        <w:numId w:val="1"/>
      </w:numPr>
      <w:outlineLvl w:val="2"/>
    </w:pPr>
    <w:rPr/>
  </w:style>
  <w:style w:type="paragraph" w:styleId="OutlineL4">
    <w:name w:val="Outline_L4"/>
    <w:basedOn w:val="OutlineL3"/>
    <w:next w:val="BodyText"/>
    <w:qFormat/>
    <w:pPr>
      <w:numPr>
        <w:ilvl w:val="0"/>
        <w:numId w:val="1"/>
      </w:numPr>
      <w:outlineLvl w:val="3"/>
    </w:pPr>
    <w:rPr/>
  </w:style>
  <w:style w:type="paragraph" w:styleId="OutlineL5">
    <w:name w:val="Outline_L5"/>
    <w:basedOn w:val="OutlineL4"/>
    <w:next w:val="BodyText"/>
    <w:qFormat/>
    <w:pPr>
      <w:numPr>
        <w:ilvl w:val="0"/>
        <w:numId w:val="1"/>
      </w:numPr>
      <w:outlineLvl w:val="4"/>
    </w:pPr>
    <w:rPr/>
  </w:style>
  <w:style w:type="paragraph" w:styleId="OutlineL6">
    <w:name w:val="Outline_L6"/>
    <w:basedOn w:val="OutlineL5"/>
    <w:next w:val="BodyText"/>
    <w:qFormat/>
    <w:pPr>
      <w:numPr>
        <w:ilvl w:val="0"/>
        <w:numId w:val="1"/>
      </w:numPr>
      <w:outlineLvl w:val="5"/>
    </w:pPr>
    <w:rPr/>
  </w:style>
  <w:style w:type="paragraph" w:styleId="OutlineL7">
    <w:name w:val="Outline_L7"/>
    <w:basedOn w:val="OutlineL6"/>
    <w:next w:val="BodyText"/>
    <w:qFormat/>
    <w:pPr>
      <w:numPr>
        <w:ilvl w:val="0"/>
        <w:numId w:val="1"/>
      </w:numPr>
      <w:outlineLvl w:val="6"/>
    </w:pPr>
    <w:rPr/>
  </w:style>
  <w:style w:type="paragraph" w:styleId="OutlineL8">
    <w:name w:val="Outline_L8"/>
    <w:basedOn w:val="OutlineL7"/>
    <w:next w:val="BodyText"/>
    <w:qFormat/>
    <w:pPr>
      <w:numPr>
        <w:ilvl w:val="0"/>
        <w:numId w:val="1"/>
      </w:numPr>
      <w:outlineLvl w:val="7"/>
    </w:pPr>
    <w:rPr/>
  </w:style>
  <w:style w:type="paragraph" w:styleId="OutlineL9">
    <w:name w:val="Outline_L9"/>
    <w:basedOn w:val="OutlineL8"/>
    <w:next w:val="BodyText"/>
    <w:qFormat/>
    <w:pPr>
      <w:numPr>
        <w:ilvl w:val="0"/>
        <w:numId w:val="1"/>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2001-06-05T19:27:00Z</dcterms:created>
  <dc:creator>Default</dc:creator>
  <dc:description/>
  <dc:language>en-CA</dc:language>
  <cp:lastModifiedBy>IS</cp:lastModifiedBy>
  <cp:lastPrinted>2001-06-05T14:54:00Z</cp:lastPrinted>
  <dcterms:modified xsi:type="dcterms:W3CDTF">2001-06-05T19:27:00Z</dcterms:modified>
  <cp:revision>2</cp:revision>
  <dc:subject/>
  <dc:title>MEMORANDUM</dc:title>
</cp:coreProperties>
</file>