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sz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4410" cy="987425"/>
                    </a:xfrm>
                    <a:prstGeom prst="rect">
                      <a:avLst/>
                    </a:prstGeom>
                    <a:noFill/>
                  </pic:spPr>
                </pic:pic>
              </a:graphicData>
            </a:graphic>
          </wp:inline>
        </w:drawing>
      </w:r>
      <w:r>
        <w:rPr/>
        <w:tab/>
        <w:tab/>
        <w:tab/>
        <w:tab/>
        <w:tab/>
        <w:tab/>
        <w:tab/>
      </w:r>
      <w:r>
        <w:rPr>
          <w:sz w:val="36"/>
        </w:rPr>
        <w:t>Interoffice</w:t>
      </w:r>
    </w:p>
    <w:p>
      <w:pPr>
        <w:pStyle w:val="Heading"/>
        <w:rPr>
          <w:sz w:val="36"/>
        </w:rPr>
      </w:pPr>
      <w:r>
        <w:rPr>
          <w:sz w:val="36"/>
        </w:rPr>
        <w:tab/>
        <w:tab/>
        <w:tab/>
        <w:tab/>
        <w:tab/>
        <w:tab/>
        <w:tab/>
        <w:tab/>
        <w:tab/>
        <w:t>Memorandum</w:t>
      </w:r>
    </w:p>
    <w:p>
      <w:pPr>
        <w:pStyle w:val="Heading"/>
        <w:rPr>
          <w:sz w:val="36"/>
        </w:rPr>
      </w:pPr>
      <w:r>
        <w:rPr>
          <w:sz w:val="36"/>
        </w:rPr>
      </w:r>
    </w:p>
    <w:p>
      <w:pPr>
        <w:pStyle w:val="Normal"/>
        <w:rPr>
          <w:sz w:val="22"/>
        </w:rPr>
      </w:pPr>
      <w:bookmarkStart w:id="0" w:name="StartOfMemo"/>
      <w:bookmarkEnd w:id="0"/>
      <w:r>
        <w:rPr>
          <w:sz w:val="22"/>
        </w:rPr>
        <w:t>To:</w:t>
        <w:tab/>
        <w:tab/>
        <w:t>Sara Shackleton and Susan Flynn</w:t>
        <w:tab/>
        <w:tab/>
        <w:t xml:space="preserve">Department:  </w:t>
        <w:tab/>
        <w:t>ENA - Legal</w:t>
      </w:r>
    </w:p>
    <w:p>
      <w:pPr>
        <w:pStyle w:val="Normal"/>
        <w:tabs>
          <w:tab w:val="clear" w:pos="720"/>
          <w:tab w:val="right" w:pos="900" w:leader="none"/>
        </w:tabs>
        <w:ind w:hanging="1530" w:start="1530" w:end="0"/>
        <w:rPr>
          <w:sz w:val="22"/>
        </w:rPr>
      </w:pPr>
      <w:r>
        <w:rPr>
          <w:sz w:val="22"/>
        </w:rPr>
      </w:r>
    </w:p>
    <w:p>
      <w:pPr>
        <w:pStyle w:val="Normal"/>
        <w:rPr>
          <w:sz w:val="22"/>
        </w:rPr>
      </w:pPr>
      <w:r>
        <w:rPr>
          <w:sz w:val="22"/>
        </w:rPr>
        <w:t>From:</w:t>
        <w:tab/>
        <w:tab/>
        <w:t>Marie Heard</w:t>
        <w:tab/>
        <w:tab/>
        <w:tab/>
        <w:tab/>
        <w:tab/>
        <w:t>Date:</w:t>
        <w:tab/>
        <w:t>April 18, 2000</w:t>
      </w:r>
    </w:p>
    <w:p>
      <w:pPr>
        <w:pStyle w:val="Normal"/>
        <w:rPr>
          <w:sz w:val="22"/>
        </w:rPr>
      </w:pPr>
      <w:r>
        <w:rPr>
          <w:sz w:val="22"/>
        </w:rPr>
      </w:r>
    </w:p>
    <w:p>
      <w:pPr>
        <w:pStyle w:val="Normal"/>
        <w:rPr>
          <w:sz w:val="22"/>
        </w:rPr>
      </w:pPr>
      <w:r>
        <w:rPr>
          <w:sz w:val="22"/>
        </w:rPr>
        <w:t>Subject:</w:t>
        <w:tab/>
        <w:t>Brokerage Agreements</w:t>
      </w:r>
    </w:p>
    <w:p>
      <w:pPr>
        <w:pStyle w:val="Body"/>
        <w:ind w:start="0" w:end="0"/>
        <w:rPr>
          <w:sz w:val="22"/>
          <w:u w:val="single"/>
        </w:rPr>
      </w:pPr>
      <w:r>
        <w:rPr>
          <w:sz w:val="22"/>
          <w:u w:val="single"/>
        </w:rPr>
        <w:tab/>
        <w:tab/>
        <w:tab/>
        <w:tab/>
        <w:tab/>
        <w:tab/>
        <w:tab/>
        <w:tab/>
        <w:tab/>
        <w:tab/>
        <w:tab/>
        <w:tab/>
        <w:tab/>
      </w:r>
    </w:p>
    <w:p>
      <w:pPr>
        <w:pStyle w:val="Body"/>
        <w:ind w:start="0" w:end="0"/>
        <w:rPr>
          <w:rFonts w:ascii="Times New Roman" w:hAnsi="Times New Roman" w:cs="Times New Roman"/>
          <w:sz w:val="22"/>
          <w:u w:val="single"/>
        </w:rPr>
      </w:pPr>
      <w:r>
        <w:rPr>
          <w:rFonts w:cs="Times New Roman" w:ascii="Times New Roman" w:hAnsi="Times New Roman"/>
          <w:sz w:val="22"/>
          <w:u w:val="single"/>
        </w:rPr>
      </w:r>
    </w:p>
    <w:p>
      <w:pPr>
        <w:pStyle w:val="Body"/>
        <w:tabs>
          <w:tab w:val="left" w:pos="720" w:leader="none"/>
        </w:tabs>
        <w:ind w:start="0" w:end="0"/>
        <w:jc w:val="both"/>
        <w:rPr>
          <w:rFonts w:ascii="Times New Roman" w:hAnsi="Times New Roman" w:cs="Times New Roman"/>
          <w:color w:val="000000"/>
          <w:sz w:val="22"/>
        </w:rPr>
      </w:pPr>
      <w:r>
        <w:rPr>
          <w:rFonts w:cs="Times New Roman" w:ascii="Times New Roman" w:hAnsi="Times New Roman"/>
          <w:color w:val="000000"/>
          <w:sz w:val="22"/>
        </w:rPr>
        <w:tab/>
        <w:t>At the time a brokerage account is requested, an e-mail should be sent to Ted Murphy and Bill Bradford in Credit advising them of the request.</w:t>
      </w:r>
    </w:p>
    <w:p>
      <w:pPr>
        <w:pStyle w:val="Body"/>
        <w:tabs>
          <w:tab w:val="left" w:pos="720" w:leader="none"/>
        </w:tabs>
        <w:ind w:start="0" w:end="0"/>
        <w:jc w:val="both"/>
        <w:rPr>
          <w:rFonts w:ascii="Times New Roman" w:hAnsi="Times New Roman" w:cs="Times New Roman"/>
          <w:color w:val="000000"/>
          <w:sz w:val="22"/>
        </w:rPr>
      </w:pPr>
      <w:r>
        <w:rPr>
          <w:rFonts w:cs="Times New Roman" w:ascii="Times New Roman" w:hAnsi="Times New Roman"/>
          <w:color w:val="000000"/>
          <w:sz w:val="22"/>
        </w:rPr>
      </w:r>
    </w:p>
    <w:p>
      <w:pPr>
        <w:pStyle w:val="Body"/>
        <w:tabs>
          <w:tab w:val="left" w:pos="720" w:leader="none"/>
        </w:tabs>
        <w:ind w:start="0" w:end="0"/>
        <w:jc w:val="both"/>
        <w:rPr>
          <w:rFonts w:ascii="Times New Roman" w:hAnsi="Times New Roman" w:cs="Times New Roman"/>
          <w:color w:val="000000"/>
          <w:sz w:val="22"/>
        </w:rPr>
      </w:pPr>
      <w:r>
        <w:rPr>
          <w:rFonts w:cs="Times New Roman" w:ascii="Times New Roman" w:hAnsi="Times New Roman"/>
          <w:color w:val="000000"/>
          <w:sz w:val="22"/>
        </w:rPr>
        <w:tab/>
        <w:t>When opening brokerage accounts, the following information is needed:</w:t>
      </w:r>
    </w:p>
    <w:p>
      <w:pPr>
        <w:pStyle w:val="Body"/>
        <w:tabs>
          <w:tab w:val="left" w:pos="720" w:leader="none"/>
        </w:tabs>
        <w:ind w:start="0" w:end="0"/>
        <w:jc w:val="both"/>
        <w:rPr>
          <w:rFonts w:ascii="Times New Roman" w:hAnsi="Times New Roman" w:cs="Times New Roman"/>
          <w:color w:val="000000"/>
          <w:sz w:val="22"/>
        </w:rPr>
      </w:pPr>
      <w:r>
        <w:rPr>
          <w:rFonts w:cs="Times New Roman" w:ascii="Times New Roman" w:hAnsi="Times New Roman"/>
          <w:color w:val="000000"/>
          <w:sz w:val="22"/>
        </w:rPr>
      </w:r>
    </w:p>
    <w:p>
      <w:pPr>
        <w:pStyle w:val="Body"/>
        <w:tabs>
          <w:tab w:val="left" w:pos="720" w:leader="none"/>
        </w:tabs>
        <w:ind w:start="720" w:end="0"/>
        <w:jc w:val="both"/>
        <w:rPr>
          <w:rFonts w:ascii="Times New Roman" w:hAnsi="Times New Roman" w:cs="Times New Roman"/>
          <w:color w:val="000000"/>
          <w:sz w:val="22"/>
        </w:rPr>
      </w:pPr>
      <w:r>
        <w:rPr>
          <w:rFonts w:cs="Times New Roman" w:ascii="Times New Roman" w:hAnsi="Times New Roman"/>
          <w:color w:val="000000"/>
          <w:sz w:val="22"/>
        </w:rPr>
        <w:t>1.</w:t>
        <w:tab/>
        <w:t>Correct legal name of entity opening account;</w:t>
      </w:r>
    </w:p>
    <w:p>
      <w:pPr>
        <w:pStyle w:val="Body"/>
        <w:tabs>
          <w:tab w:val="left" w:pos="720" w:leader="none"/>
        </w:tabs>
        <w:ind w:start="720" w:end="0"/>
        <w:jc w:val="both"/>
        <w:rPr>
          <w:rFonts w:ascii="Times New Roman" w:hAnsi="Times New Roman" w:cs="Times New Roman"/>
          <w:color w:val="000000"/>
          <w:sz w:val="22"/>
        </w:rPr>
      </w:pPr>
      <w:r>
        <w:rPr>
          <w:rFonts w:cs="Times New Roman" w:ascii="Times New Roman" w:hAnsi="Times New Roman"/>
          <w:color w:val="000000"/>
          <w:sz w:val="22"/>
        </w:rPr>
      </w:r>
    </w:p>
    <w:p>
      <w:pPr>
        <w:pStyle w:val="Body"/>
        <w:tabs>
          <w:tab w:val="left" w:pos="720" w:leader="none"/>
        </w:tabs>
        <w:ind w:start="720" w:end="0"/>
        <w:jc w:val="both"/>
        <w:rPr>
          <w:rFonts w:ascii="Times New Roman" w:hAnsi="Times New Roman" w:cs="Times New Roman"/>
          <w:color w:val="000000"/>
          <w:sz w:val="22"/>
        </w:rPr>
      </w:pPr>
      <w:r>
        <w:rPr>
          <w:rFonts w:cs="Times New Roman" w:ascii="Times New Roman" w:hAnsi="Times New Roman"/>
          <w:color w:val="000000"/>
          <w:sz w:val="22"/>
        </w:rPr>
        <w:t>2.</w:t>
        <w:tab/>
        <w:t>Brokerage firm where account is to be opened;</w:t>
      </w:r>
    </w:p>
    <w:p>
      <w:pPr>
        <w:pStyle w:val="Body"/>
        <w:tabs>
          <w:tab w:val="left" w:pos="720" w:leader="none"/>
        </w:tabs>
        <w:ind w:start="720" w:end="0"/>
        <w:jc w:val="both"/>
        <w:rPr>
          <w:rFonts w:ascii="Times New Roman" w:hAnsi="Times New Roman" w:cs="Times New Roman"/>
          <w:color w:val="000000"/>
          <w:sz w:val="22"/>
        </w:rPr>
      </w:pPr>
      <w:r>
        <w:rPr>
          <w:rFonts w:cs="Times New Roman" w:ascii="Times New Roman" w:hAnsi="Times New Roman"/>
          <w:color w:val="000000"/>
          <w:sz w:val="22"/>
        </w:rPr>
      </w:r>
    </w:p>
    <w:p>
      <w:pPr>
        <w:pStyle w:val="Body"/>
        <w:tabs>
          <w:tab w:val="left" w:pos="720" w:leader="none"/>
        </w:tabs>
        <w:ind w:hanging="720" w:start="1440" w:end="0"/>
        <w:jc w:val="both"/>
        <w:rPr>
          <w:rFonts w:ascii="Times New Roman" w:hAnsi="Times New Roman" w:cs="Times New Roman"/>
          <w:color w:val="000000"/>
          <w:sz w:val="22"/>
        </w:rPr>
      </w:pPr>
      <w:r>
        <w:rPr>
          <w:rFonts w:cs="Times New Roman" w:ascii="Times New Roman" w:hAnsi="Times New Roman"/>
          <w:color w:val="000000"/>
          <w:sz w:val="22"/>
        </w:rPr>
        <w:t>3.</w:t>
        <w:tab/>
        <w:t>Type of account to be opened (e.g., futures, clearing, etc.) and copy of the brokerage agreement;</w:t>
      </w:r>
    </w:p>
    <w:p>
      <w:pPr>
        <w:pStyle w:val="Body"/>
        <w:tabs>
          <w:tab w:val="left" w:pos="720" w:leader="none"/>
        </w:tabs>
        <w:ind w:hanging="720" w:start="1440" w:end="0"/>
        <w:jc w:val="both"/>
        <w:rPr>
          <w:rFonts w:ascii="Times New Roman" w:hAnsi="Times New Roman" w:cs="Times New Roman"/>
          <w:color w:val="000000"/>
          <w:sz w:val="22"/>
        </w:rPr>
      </w:pPr>
      <w:r>
        <w:rPr>
          <w:rFonts w:cs="Times New Roman" w:ascii="Times New Roman" w:hAnsi="Times New Roman"/>
          <w:color w:val="000000"/>
          <w:sz w:val="22"/>
        </w:rPr>
      </w:r>
    </w:p>
    <w:p>
      <w:pPr>
        <w:pStyle w:val="Body"/>
        <w:tabs>
          <w:tab w:val="left" w:pos="720" w:leader="none"/>
        </w:tabs>
        <w:ind w:hanging="720" w:start="1440" w:end="0"/>
        <w:jc w:val="both"/>
        <w:rPr>
          <w:rFonts w:ascii="Times New Roman" w:hAnsi="Times New Roman" w:cs="Times New Roman"/>
          <w:color w:val="000000"/>
          <w:sz w:val="22"/>
        </w:rPr>
      </w:pPr>
      <w:r>
        <w:rPr>
          <w:rFonts w:cs="Times New Roman" w:ascii="Times New Roman" w:hAnsi="Times New Roman"/>
          <w:color w:val="000000"/>
          <w:sz w:val="22"/>
        </w:rPr>
        <w:t>4.</w:t>
        <w:tab/>
        <w:t>Corporate resolutions (or unanimous consent) authorizing the opening of brokerage accounts and the conducting of trades thereunder.  For control purposes, two (2) individuals should be authorized to open accounts, one being either Rick Buy or Ted Murphy and the other being an officer of the entity opening the account;</w:t>
      </w:r>
    </w:p>
    <w:p>
      <w:pPr>
        <w:pStyle w:val="Body"/>
        <w:tabs>
          <w:tab w:val="left" w:pos="720" w:leader="none"/>
        </w:tabs>
        <w:ind w:hanging="720" w:start="1440" w:end="0"/>
        <w:jc w:val="both"/>
        <w:rPr>
          <w:rFonts w:ascii="Times New Roman" w:hAnsi="Times New Roman" w:cs="Times New Roman"/>
          <w:color w:val="000000"/>
          <w:sz w:val="22"/>
        </w:rPr>
      </w:pPr>
      <w:r>
        <w:rPr>
          <w:rFonts w:cs="Times New Roman" w:ascii="Times New Roman" w:hAnsi="Times New Roman"/>
          <w:color w:val="000000"/>
          <w:sz w:val="22"/>
        </w:rPr>
      </w:r>
    </w:p>
    <w:p>
      <w:pPr>
        <w:pStyle w:val="Body"/>
        <w:tabs>
          <w:tab w:val="left" w:pos="720" w:leader="none"/>
        </w:tabs>
        <w:ind w:hanging="720" w:start="1440" w:end="0"/>
        <w:jc w:val="both"/>
        <w:rPr>
          <w:rFonts w:ascii="Times New Roman" w:hAnsi="Times New Roman" w:cs="Times New Roman"/>
          <w:color w:val="000000"/>
          <w:sz w:val="22"/>
        </w:rPr>
      </w:pPr>
      <w:r>
        <w:rPr>
          <w:rFonts w:cs="Times New Roman" w:ascii="Times New Roman" w:hAnsi="Times New Roman"/>
          <w:color w:val="000000"/>
          <w:sz w:val="22"/>
        </w:rPr>
        <w:t>5.</w:t>
        <w:tab/>
        <w:t>A copy of the “Authorized Traders List” setting forth those individuals authorized to trade for the account.  In connection with equity accounts, the authorized traders should only by individuals in Gary Hickerson’s Group, usually Jeff Kinneman, John Greene, Mike Bradley and David Vitrella.  This list should also include other information required by the broker, such as names and phone numbers of confirmation contacts, margin contacts, etc.; and</w:t>
      </w:r>
    </w:p>
    <w:p>
      <w:pPr>
        <w:pStyle w:val="Body"/>
        <w:tabs>
          <w:tab w:val="left" w:pos="720" w:leader="none"/>
        </w:tabs>
        <w:ind w:hanging="720" w:start="1440" w:end="0"/>
        <w:jc w:val="both"/>
        <w:rPr>
          <w:rFonts w:ascii="Times New Roman" w:hAnsi="Times New Roman" w:cs="Times New Roman"/>
          <w:color w:val="000000"/>
          <w:sz w:val="22"/>
        </w:rPr>
      </w:pPr>
      <w:r>
        <w:rPr>
          <w:rFonts w:cs="Times New Roman" w:ascii="Times New Roman" w:hAnsi="Times New Roman"/>
          <w:color w:val="000000"/>
          <w:sz w:val="22"/>
        </w:rPr>
      </w:r>
    </w:p>
    <w:p>
      <w:pPr>
        <w:pStyle w:val="Body"/>
        <w:tabs>
          <w:tab w:val="left" w:pos="720" w:leader="none"/>
        </w:tabs>
        <w:ind w:hanging="720" w:start="1440" w:end="0"/>
        <w:jc w:val="both"/>
        <w:rPr>
          <w:rFonts w:ascii="Times New Roman" w:hAnsi="Times New Roman" w:cs="Times New Roman"/>
          <w:color w:val="000000"/>
          <w:sz w:val="22"/>
        </w:rPr>
      </w:pPr>
      <w:r>
        <w:rPr>
          <w:rFonts w:cs="Times New Roman" w:ascii="Times New Roman" w:hAnsi="Times New Roman"/>
          <w:color w:val="000000"/>
          <w:sz w:val="22"/>
        </w:rPr>
        <w:t>6.</w:t>
        <w:tab/>
        <w:t>The timing for opening the account.  The account cannot be opened until ENA Legal has the following completed documents:</w:t>
      </w:r>
    </w:p>
    <w:p>
      <w:pPr>
        <w:pStyle w:val="Body"/>
        <w:tabs>
          <w:tab w:val="left" w:pos="720" w:leader="none"/>
        </w:tabs>
        <w:ind w:hanging="720" w:start="1440" w:end="0"/>
        <w:jc w:val="both"/>
        <w:rPr>
          <w:rFonts w:ascii="Times New Roman" w:hAnsi="Times New Roman" w:cs="Times New Roman"/>
          <w:color w:val="000000"/>
          <w:sz w:val="22"/>
        </w:rPr>
      </w:pPr>
      <w:r>
        <w:rPr>
          <w:rFonts w:cs="Times New Roman" w:ascii="Times New Roman" w:hAnsi="Times New Roman"/>
          <w:color w:val="000000"/>
          <w:sz w:val="22"/>
        </w:rPr>
      </w:r>
    </w:p>
    <w:p>
      <w:pPr>
        <w:pStyle w:val="Body"/>
        <w:tabs>
          <w:tab w:val="left" w:pos="720" w:leader="none"/>
        </w:tabs>
        <w:ind w:hanging="720" w:start="1440" w:end="0"/>
        <w:jc w:val="both"/>
        <w:rPr>
          <w:rFonts w:ascii="Times New Roman" w:hAnsi="Times New Roman" w:cs="Times New Roman"/>
          <w:color w:val="000000"/>
          <w:sz w:val="22"/>
        </w:rPr>
      </w:pPr>
      <w:r>
        <w:rPr>
          <w:rFonts w:cs="Times New Roman" w:ascii="Times New Roman" w:hAnsi="Times New Roman"/>
          <w:color w:val="000000"/>
          <w:sz w:val="22"/>
        </w:rPr>
        <w:tab/>
        <w:t>(i)</w:t>
        <w:tab/>
        <w:t>Executed corporate resolutions (or consent)</w:t>
      </w:r>
    </w:p>
    <w:p>
      <w:pPr>
        <w:pStyle w:val="Body"/>
        <w:tabs>
          <w:tab w:val="left" w:pos="720" w:leader="none"/>
        </w:tabs>
        <w:ind w:hanging="720" w:start="1440" w:end="0"/>
        <w:jc w:val="both"/>
        <w:rPr>
          <w:rFonts w:ascii="Times New Roman" w:hAnsi="Times New Roman" w:cs="Times New Roman"/>
          <w:color w:val="000000"/>
          <w:sz w:val="22"/>
        </w:rPr>
      </w:pPr>
      <w:r>
        <w:rPr>
          <w:rFonts w:cs="Times New Roman" w:ascii="Times New Roman" w:hAnsi="Times New Roman"/>
          <w:color w:val="000000"/>
          <w:sz w:val="22"/>
        </w:rPr>
        <w:tab/>
        <w:t>(ii)</w:t>
        <w:tab/>
        <w:t>Executed brokerage agreement</w:t>
      </w:r>
    </w:p>
    <w:p>
      <w:pPr>
        <w:pStyle w:val="Body"/>
        <w:tabs>
          <w:tab w:val="left" w:pos="720" w:leader="none"/>
        </w:tabs>
        <w:ind w:hanging="720" w:start="1440" w:end="0"/>
        <w:jc w:val="both"/>
        <w:rPr>
          <w:rFonts w:ascii="Times New Roman" w:hAnsi="Times New Roman" w:cs="Times New Roman"/>
          <w:color w:val="000000"/>
          <w:sz w:val="22"/>
        </w:rPr>
      </w:pPr>
      <w:r>
        <w:rPr>
          <w:rFonts w:cs="Times New Roman" w:ascii="Times New Roman" w:hAnsi="Times New Roman"/>
          <w:color w:val="000000"/>
          <w:sz w:val="22"/>
        </w:rPr>
        <w:tab/>
        <w:t>(iii)</w:t>
        <w:tab/>
        <w:t>“Authorized Traders List”</w:t>
      </w:r>
    </w:p>
    <w:p>
      <w:pPr>
        <w:pStyle w:val="Body"/>
        <w:tabs>
          <w:tab w:val="left" w:pos="720" w:leader="none"/>
        </w:tabs>
        <w:ind w:hanging="720" w:start="1440" w:end="0"/>
        <w:jc w:val="both"/>
        <w:rPr>
          <w:rFonts w:ascii="Times New Roman" w:hAnsi="Times New Roman" w:cs="Times New Roman"/>
          <w:color w:val="000000"/>
          <w:sz w:val="22"/>
        </w:rPr>
      </w:pPr>
      <w:r>
        <w:rPr>
          <w:rFonts w:cs="Times New Roman" w:ascii="Times New Roman" w:hAnsi="Times New Roman"/>
          <w:color w:val="000000"/>
          <w:sz w:val="22"/>
        </w:rPr>
        <w:tab/>
        <w:t>(iv)</w:t>
        <w:tab/>
        <w:t>IRS Form W-9 (Request for Taxpayer Identification Number).</w:t>
      </w:r>
      <w:r>
        <w:br w:type="page"/>
      </w:r>
    </w:p>
    <w:p>
      <w:pPr>
        <w:pStyle w:val="Body"/>
        <w:tabs>
          <w:tab w:val="left" w:pos="720" w:leader="none"/>
        </w:tabs>
        <w:ind w:hanging="720" w:start="1440" w:end="0"/>
        <w:jc w:val="both"/>
        <w:rPr>
          <w:rFonts w:ascii="Times New Roman" w:hAnsi="Times New Roman" w:cs="Times New Roman"/>
          <w:color w:val="000000"/>
          <w:sz w:val="22"/>
        </w:rPr>
      </w:pPr>
      <w:r>
        <w:rPr>
          <w:rFonts w:cs="Times New Roman" w:ascii="Times New Roman" w:hAnsi="Times New Roman"/>
          <w:color w:val="000000"/>
          <w:sz w:val="22"/>
        </w:rPr>
      </w:r>
    </w:p>
    <w:p>
      <w:pPr>
        <w:pStyle w:val="Body"/>
        <w:tabs>
          <w:tab w:val="left" w:pos="720" w:leader="none"/>
        </w:tabs>
        <w:ind w:hanging="720" w:start="1440" w:end="0"/>
        <w:jc w:val="both"/>
        <w:rPr>
          <w:rFonts w:ascii="Times New Roman" w:hAnsi="Times New Roman" w:cs="Times New Roman"/>
          <w:color w:val="000000"/>
          <w:sz w:val="22"/>
        </w:rPr>
      </w:pPr>
      <w:r>
        <w:rPr>
          <w:rFonts w:cs="Times New Roman" w:ascii="Times New Roman" w:hAnsi="Times New Roman"/>
          <w:color w:val="000000"/>
          <w:sz w:val="22"/>
        </w:rPr>
        <w:t>I am attaching copies of the following items for reference:</w:t>
      </w:r>
    </w:p>
    <w:p>
      <w:pPr>
        <w:pStyle w:val="Body"/>
        <w:tabs>
          <w:tab w:val="left" w:pos="720" w:leader="none"/>
        </w:tabs>
        <w:ind w:hanging="720" w:start="1440" w:end="0"/>
        <w:jc w:val="both"/>
        <w:rPr>
          <w:rFonts w:ascii="Times New Roman" w:hAnsi="Times New Roman" w:cs="Times New Roman"/>
          <w:color w:val="000000"/>
          <w:sz w:val="22"/>
        </w:rPr>
      </w:pPr>
      <w:r>
        <w:rPr>
          <w:rFonts w:cs="Times New Roman" w:ascii="Times New Roman" w:hAnsi="Times New Roman"/>
          <w:color w:val="000000"/>
          <w:sz w:val="22"/>
        </w:rPr>
      </w:r>
    </w:p>
    <w:p>
      <w:pPr>
        <w:pStyle w:val="Body"/>
        <w:tabs>
          <w:tab w:val="left" w:pos="720" w:leader="none"/>
        </w:tabs>
        <w:ind w:hanging="720" w:start="1440" w:end="0"/>
        <w:jc w:val="both"/>
        <w:rPr>
          <w:rFonts w:ascii="Times New Roman" w:hAnsi="Times New Roman" w:cs="Times New Roman"/>
          <w:color w:val="000000"/>
          <w:sz w:val="22"/>
        </w:rPr>
      </w:pPr>
      <w:r>
        <w:rPr>
          <w:rFonts w:cs="Times New Roman" w:ascii="Times New Roman" w:hAnsi="Times New Roman"/>
          <w:color w:val="000000"/>
          <w:sz w:val="22"/>
        </w:rPr>
        <w:t>1.</w:t>
        <w:tab/>
        <w:t>Information required for opening brokerage accounts;</w:t>
      </w:r>
    </w:p>
    <w:p>
      <w:pPr>
        <w:pStyle w:val="Body"/>
        <w:tabs>
          <w:tab w:val="left" w:pos="720" w:leader="none"/>
        </w:tabs>
        <w:ind w:hanging="720" w:start="1440" w:end="0"/>
        <w:jc w:val="both"/>
        <w:rPr>
          <w:rFonts w:ascii="Times New Roman" w:hAnsi="Times New Roman" w:cs="Times New Roman"/>
          <w:color w:val="000000"/>
          <w:sz w:val="22"/>
        </w:rPr>
      </w:pPr>
      <w:r>
        <w:rPr>
          <w:rFonts w:cs="Times New Roman" w:ascii="Times New Roman" w:hAnsi="Times New Roman"/>
          <w:color w:val="000000"/>
          <w:sz w:val="22"/>
        </w:rPr>
      </w:r>
    </w:p>
    <w:p>
      <w:pPr>
        <w:pStyle w:val="Body"/>
        <w:tabs>
          <w:tab w:val="left" w:pos="720" w:leader="none"/>
        </w:tabs>
        <w:ind w:hanging="720" w:start="1440" w:end="0"/>
        <w:jc w:val="both"/>
        <w:rPr>
          <w:rFonts w:ascii="Times New Roman" w:hAnsi="Times New Roman" w:cs="Times New Roman"/>
          <w:color w:val="000000"/>
          <w:sz w:val="22"/>
        </w:rPr>
      </w:pPr>
      <w:r>
        <w:rPr>
          <w:rFonts w:cs="Times New Roman" w:ascii="Times New Roman" w:hAnsi="Times New Roman"/>
          <w:color w:val="000000"/>
          <w:sz w:val="22"/>
        </w:rPr>
        <w:t>2.</w:t>
        <w:tab/>
        <w:t>Proposed form of resolutions authorizing the opening of brokerage accounts; and</w:t>
      </w:r>
    </w:p>
    <w:p>
      <w:pPr>
        <w:pStyle w:val="Body"/>
        <w:tabs>
          <w:tab w:val="left" w:pos="720" w:leader="none"/>
        </w:tabs>
        <w:ind w:hanging="720" w:start="1440" w:end="0"/>
        <w:jc w:val="both"/>
        <w:rPr>
          <w:rFonts w:ascii="Times New Roman" w:hAnsi="Times New Roman" w:cs="Times New Roman"/>
          <w:color w:val="000000"/>
          <w:sz w:val="22"/>
        </w:rPr>
      </w:pPr>
      <w:r>
        <w:rPr>
          <w:rFonts w:cs="Times New Roman" w:ascii="Times New Roman" w:hAnsi="Times New Roman"/>
          <w:color w:val="000000"/>
          <w:sz w:val="22"/>
        </w:rPr>
      </w:r>
    </w:p>
    <w:p>
      <w:pPr>
        <w:pStyle w:val="Body"/>
        <w:tabs>
          <w:tab w:val="left" w:pos="720" w:leader="none"/>
        </w:tabs>
        <w:ind w:hanging="720" w:start="1440" w:end="0"/>
        <w:jc w:val="both"/>
        <w:rPr>
          <w:rFonts w:ascii="Times New Roman" w:hAnsi="Times New Roman" w:cs="Times New Roman"/>
          <w:color w:val="000000"/>
          <w:sz w:val="22"/>
        </w:rPr>
      </w:pPr>
      <w:r>
        <w:rPr>
          <w:rFonts w:cs="Times New Roman" w:ascii="Times New Roman" w:hAnsi="Times New Roman"/>
          <w:color w:val="000000"/>
          <w:sz w:val="22"/>
        </w:rPr>
        <w:t>3.</w:t>
        <w:tab/>
        <w:t>Proposed form of “Authorized Traders List”.</w:t>
      </w:r>
    </w:p>
    <w:p>
      <w:pPr>
        <w:pStyle w:val="Body"/>
        <w:tabs>
          <w:tab w:val="left" w:pos="720" w:leader="none"/>
        </w:tabs>
        <w:ind w:hanging="720" w:start="1440" w:end="0"/>
        <w:jc w:val="both"/>
        <w:rPr>
          <w:rFonts w:ascii="Times New Roman" w:hAnsi="Times New Roman" w:cs="Times New Roman"/>
          <w:color w:val="000000"/>
          <w:sz w:val="22"/>
        </w:rPr>
      </w:pPr>
      <w:r>
        <w:rPr>
          <w:rFonts w:cs="Times New Roman" w:ascii="Times New Roman" w:hAnsi="Times New Roman"/>
          <w:color w:val="000000"/>
          <w:sz w:val="22"/>
        </w:rPr>
      </w:r>
    </w:p>
    <w:p>
      <w:pPr>
        <w:pStyle w:val="Body"/>
        <w:tabs>
          <w:tab w:val="left" w:pos="720" w:leader="none"/>
        </w:tabs>
        <w:ind w:hanging="720" w:start="1440" w:end="0"/>
        <w:jc w:val="both"/>
        <w:rPr>
          <w:rFonts w:ascii="Times New Roman" w:hAnsi="Times New Roman" w:cs="Times New Roman"/>
          <w:color w:val="000000"/>
          <w:sz w:val="22"/>
        </w:rPr>
      </w:pPr>
      <w:r>
        <w:rPr>
          <w:rFonts w:cs="Times New Roman" w:ascii="Times New Roman" w:hAnsi="Times New Roman"/>
          <w:color w:val="000000"/>
          <w:sz w:val="22"/>
        </w:rPr>
        <w:t>In addition, attached are the following lists:</w:t>
      </w:r>
    </w:p>
    <w:p>
      <w:pPr>
        <w:pStyle w:val="Body"/>
        <w:tabs>
          <w:tab w:val="left" w:pos="720" w:leader="none"/>
        </w:tabs>
        <w:ind w:hanging="720" w:start="1440" w:end="0"/>
        <w:jc w:val="both"/>
        <w:rPr>
          <w:rFonts w:ascii="Times New Roman" w:hAnsi="Times New Roman" w:cs="Times New Roman"/>
          <w:color w:val="000000"/>
          <w:sz w:val="22"/>
        </w:rPr>
      </w:pPr>
      <w:r>
        <w:rPr>
          <w:rFonts w:cs="Times New Roman" w:ascii="Times New Roman" w:hAnsi="Times New Roman"/>
          <w:color w:val="000000"/>
          <w:sz w:val="22"/>
        </w:rPr>
      </w:r>
    </w:p>
    <w:p>
      <w:pPr>
        <w:pStyle w:val="Body"/>
        <w:tabs>
          <w:tab w:val="left" w:pos="720" w:leader="none"/>
        </w:tabs>
        <w:ind w:hanging="720" w:start="1440" w:end="0"/>
        <w:jc w:val="both"/>
        <w:rPr>
          <w:rFonts w:ascii="Times New Roman" w:hAnsi="Times New Roman" w:cs="Times New Roman"/>
          <w:color w:val="000000"/>
          <w:sz w:val="22"/>
        </w:rPr>
      </w:pPr>
      <w:r>
        <w:rPr>
          <w:rFonts w:cs="Times New Roman" w:ascii="Times New Roman" w:hAnsi="Times New Roman"/>
          <w:color w:val="000000"/>
          <w:sz w:val="22"/>
        </w:rPr>
        <w:t>1.</w:t>
        <w:tab/>
        <w:t>List of futures agreements for the various Enron entities;</w:t>
      </w:r>
    </w:p>
    <w:p>
      <w:pPr>
        <w:pStyle w:val="Body"/>
        <w:tabs>
          <w:tab w:val="left" w:pos="720" w:leader="none"/>
        </w:tabs>
        <w:ind w:hanging="720" w:start="1440" w:end="0"/>
        <w:jc w:val="both"/>
        <w:rPr>
          <w:rFonts w:ascii="Times New Roman" w:hAnsi="Times New Roman" w:cs="Times New Roman"/>
          <w:color w:val="000000"/>
          <w:sz w:val="22"/>
        </w:rPr>
      </w:pPr>
      <w:r>
        <w:rPr>
          <w:rFonts w:cs="Times New Roman" w:ascii="Times New Roman" w:hAnsi="Times New Roman"/>
          <w:color w:val="000000"/>
          <w:sz w:val="22"/>
        </w:rPr>
      </w:r>
    </w:p>
    <w:p>
      <w:pPr>
        <w:pStyle w:val="Body"/>
        <w:tabs>
          <w:tab w:val="left" w:pos="720" w:leader="none"/>
        </w:tabs>
        <w:ind w:hanging="720" w:start="1440" w:end="0"/>
        <w:jc w:val="both"/>
        <w:rPr>
          <w:rFonts w:ascii="Times New Roman" w:hAnsi="Times New Roman" w:cs="Times New Roman"/>
          <w:color w:val="000000"/>
          <w:sz w:val="22"/>
        </w:rPr>
      </w:pPr>
      <w:r>
        <w:rPr>
          <w:rFonts w:cs="Times New Roman" w:ascii="Times New Roman" w:hAnsi="Times New Roman"/>
          <w:color w:val="000000"/>
          <w:sz w:val="22"/>
        </w:rPr>
        <w:t>2.</w:t>
        <w:tab/>
        <w:t>List of equity agreements for the various Enron entities; and</w:t>
      </w:r>
    </w:p>
    <w:p>
      <w:pPr>
        <w:pStyle w:val="Body"/>
        <w:tabs>
          <w:tab w:val="left" w:pos="720" w:leader="none"/>
        </w:tabs>
        <w:ind w:hanging="720" w:start="1440" w:end="0"/>
        <w:jc w:val="both"/>
        <w:rPr>
          <w:rFonts w:ascii="Times New Roman" w:hAnsi="Times New Roman" w:cs="Times New Roman"/>
          <w:color w:val="000000"/>
          <w:sz w:val="22"/>
        </w:rPr>
      </w:pPr>
      <w:r>
        <w:rPr>
          <w:rFonts w:cs="Times New Roman" w:ascii="Times New Roman" w:hAnsi="Times New Roman"/>
          <w:color w:val="000000"/>
          <w:sz w:val="22"/>
        </w:rPr>
      </w:r>
    </w:p>
    <w:p>
      <w:pPr>
        <w:pStyle w:val="Body"/>
        <w:tabs>
          <w:tab w:val="left" w:pos="720" w:leader="none"/>
        </w:tabs>
        <w:ind w:hanging="720" w:start="1440" w:end="0"/>
        <w:jc w:val="both"/>
        <w:rPr>
          <w:rFonts w:ascii="Times New Roman" w:hAnsi="Times New Roman" w:cs="Times New Roman"/>
          <w:color w:val="000000"/>
          <w:sz w:val="22"/>
        </w:rPr>
      </w:pPr>
      <w:r>
        <w:rPr>
          <w:rFonts w:cs="Times New Roman" w:ascii="Times New Roman" w:hAnsi="Times New Roman"/>
          <w:color w:val="000000"/>
          <w:sz w:val="22"/>
        </w:rPr>
        <w:t>3.</w:t>
        <w:tab/>
        <w:t>Lists of contact information for each of the Enron entities.</w:t>
      </w:r>
    </w:p>
    <w:p>
      <w:pPr>
        <w:pStyle w:val="Body"/>
        <w:tabs>
          <w:tab w:val="left" w:pos="720" w:leader="none"/>
        </w:tabs>
        <w:ind w:hanging="720" w:start="1440" w:end="0"/>
        <w:jc w:val="both"/>
        <w:rPr>
          <w:rFonts w:ascii="Times New Roman" w:hAnsi="Times New Roman" w:cs="Times New Roman"/>
          <w:color w:val="000000"/>
          <w:sz w:val="22"/>
        </w:rPr>
      </w:pPr>
      <w:r>
        <w:rPr>
          <w:rFonts w:cs="Times New Roman" w:ascii="Times New Roman" w:hAnsi="Times New Roman"/>
          <w:color w:val="000000"/>
          <w:sz w:val="22"/>
        </w:rPr>
      </w:r>
    </w:p>
    <w:p>
      <w:pPr>
        <w:pStyle w:val="Body"/>
        <w:tabs>
          <w:tab w:val="left" w:pos="720" w:leader="none"/>
        </w:tabs>
        <w:ind w:start="0" w:end="0"/>
        <w:jc w:val="both"/>
        <w:rPr>
          <w:rFonts w:ascii="Times New Roman" w:hAnsi="Times New Roman" w:cs="Times New Roman"/>
          <w:color w:val="000000"/>
          <w:sz w:val="22"/>
        </w:rPr>
      </w:pPr>
      <w:r>
        <w:rPr>
          <w:rFonts w:cs="Times New Roman" w:ascii="Times New Roman" w:hAnsi="Times New Roman"/>
          <w:color w:val="000000"/>
          <w:sz w:val="22"/>
        </w:rPr>
        <w:tab/>
        <w:t>At the time that the documentation is forwarded to the brokerage firm, I make two red files containing copies of the documentation, one for ENA to keep and one to be sent to Ted Murphy who keeps a duplicate set for his files.</w:t>
      </w:r>
    </w:p>
    <w:p>
      <w:pPr>
        <w:pStyle w:val="Body"/>
        <w:tabs>
          <w:tab w:val="left" w:pos="720" w:leader="none"/>
        </w:tabs>
        <w:ind w:hanging="720" w:start="1440" w:end="0"/>
        <w:jc w:val="both"/>
        <w:rPr>
          <w:rFonts w:ascii="Times New Roman" w:hAnsi="Times New Roman" w:cs="Times New Roman"/>
          <w:color w:val="000000"/>
          <w:sz w:val="22"/>
        </w:rPr>
      </w:pPr>
      <w:r>
        <w:rPr>
          <w:rFonts w:cs="Times New Roman" w:ascii="Times New Roman" w:hAnsi="Times New Roman"/>
          <w:color w:val="000000"/>
          <w:sz w:val="22"/>
        </w:rPr>
      </w:r>
    </w:p>
    <w:p>
      <w:pPr>
        <w:pStyle w:val="Body"/>
        <w:tabs>
          <w:tab w:val="left" w:pos="720" w:leader="none"/>
        </w:tabs>
        <w:ind w:hanging="720" w:start="1440" w:end="0"/>
        <w:jc w:val="both"/>
        <w:rPr>
          <w:rFonts w:ascii="Times New Roman" w:hAnsi="Times New Roman" w:cs="Times New Roman"/>
          <w:color w:val="000000"/>
          <w:sz w:val="22"/>
        </w:rPr>
      </w:pPr>
      <w:r>
        <w:rPr>
          <w:rFonts w:cs="Times New Roman" w:ascii="Times New Roman" w:hAnsi="Times New Roman"/>
          <w:color w:val="000000"/>
          <w:sz w:val="22"/>
        </w:rPr>
      </w:r>
    </w:p>
    <w:sectPr>
      <w:footerReference w:type="default" r:id="rId3"/>
      <w:type w:val="nextPage"/>
      <w:pgSz w:w="12240" w:h="15840"/>
      <w:pgMar w:left="1296" w:right="1296" w:gutter="0" w:header="0" w:top="1296" w:footer="72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rPr>
        <w:b/>
        <w:sz w:val="16"/>
      </w:rPr>
    </w:pPr>
    <w:r>
      <w:rPr>
        <w:b/>
        <w:sz w:val="16"/>
      </w:rPr>
    </w:r>
  </w:p>
  <w:p>
    <w:pPr>
      <w:pStyle w:val="Footer"/>
      <w:tabs>
        <w:tab w:val="clear" w:pos="4320"/>
        <w:tab w:val="left" w:pos="3780" w:leader="none"/>
        <w:tab w:val="center" w:pos="7560" w:leader="none"/>
        <w:tab w:val="right" w:pos="8640" w:leader="none"/>
      </w:tabs>
      <w:rPr>
        <w:b/>
        <w:sz w:val="16"/>
        <w:lang w:eastAsia="en-US"/>
      </w:rPr>
    </w:pPr>
    <w:r>
      <w:rPr>
        <w:b/>
        <w:sz w:val="16"/>
        <w:lang w:eastAsia="en-US"/>
      </w:rPr>
      <w:fldChar w:fldCharType="begin"/>
    </w:r>
    <w:r>
      <w:rPr>
        <w:sz w:val="16"/>
        <w:b/>
        <w:lang w:eastAsia="en-US"/>
      </w:rPr>
      <w:instrText xml:space="preserve"> FILENAME \p </w:instrText>
    </w:r>
    <w:r>
      <w:rPr>
        <w:sz w:val="16"/>
        <w:b/>
        <w:lang w:eastAsia="en-US"/>
      </w:rPr>
      <w:fldChar w:fldCharType="separate"/>
    </w:r>
    <w:r>
      <w:rPr>
        <w:sz w:val="16"/>
        <w:b/>
        <w:lang w:eastAsia="en-US"/>
      </w:rPr>
      <w:t>/mnt/main-storage/datasets/enron-docs/doc/562memo.doc</w:t>
    </w:r>
    <w:r>
      <w:rPr>
        <w:sz w:val="16"/>
        <w:b/>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paragraph" w:styleId="Heading">
    <w:name w:val="Heading"/>
    <w:basedOn w:val="Normal"/>
    <w:next w:val="BodyText"/>
    <w:qFormat/>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IMES" w:hAnsi="TIMES" w:cs="TIMES"/>
      <w:sz w:val="26"/>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2000-04-18T13:48:00Z</dcterms:created>
  <dc:creator>mheard</dc:creator>
  <dc:description/>
  <dc:language>en-CA</dc:language>
  <cp:lastModifiedBy>mheard</cp:lastModifiedBy>
  <cp:lastPrinted>2000-04-18T15:14:00Z</cp:lastPrinted>
  <dcterms:modified xsi:type="dcterms:W3CDTF">2000-04-18T17:44:00Z</dcterms:modified>
  <cp:revision>6</cp:revision>
  <dc:subject/>
  <dc:title> 	</dc:title>
</cp:coreProperties>
</file>