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emf" ContentType="image/x-emf"/>
  <Override PartName="/word/media/image2.emf" ContentType="image/x-emf"/>
  <Override PartName="/word/media/image3.emf" ContentType="image/x-emf"/>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jc w:val="both"/>
        <w:rPr/>
      </w:pPr>
      <w:r>
        <w:rPr/>
        <w:t xml:space="preserve"> </w:t>
      </w:r>
      <w:r>
        <w:rPr/>
        <w:t>1.</w:t>
        <w:tab/>
      </w:r>
      <w:r>
        <w:rPr>
          <w:b/>
          <w:bCs/>
        </w:rPr>
        <w:t>SCOPE</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ind w:start="720" w:end="0"/>
        <w:jc w:val="both"/>
        <w:rPr/>
      </w:pPr>
      <w:r>
        <w:rPr/>
        <w:t>This guideline covers the design, shop fabrication, testing and inspection of orifice meter tubes for flow measurement of natural gas.  See Engineering Standard 5421 for purchase specifications.</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ind w:start="720" w:end="0"/>
        <w:jc w:val="both"/>
        <w:rPr/>
      </w:pPr>
      <w:r>
        <w:rPr/>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jc w:val="both"/>
        <w:rPr/>
      </w:pPr>
      <w:r>
        <w:rPr/>
        <w:t xml:space="preserve"> </w:t>
      </w:r>
      <w:r>
        <w:rPr/>
        <w:t>2.</w:t>
        <w:tab/>
      </w:r>
      <w:r>
        <w:rPr>
          <w:b/>
          <w:bCs/>
        </w:rPr>
        <w:t>CODES AND STANDARDS</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ind w:start="720" w:end="0"/>
        <w:jc w:val="both"/>
        <w:rPr/>
      </w:pPr>
      <w:r>
        <w:rPr/>
        <w:t>All meter tubes shall be designed, fabricated and tested in accordance with the following codes and standards as applicable:</w:t>
      </w:r>
    </w:p>
    <w:p>
      <w:pPr>
        <w:pStyle w:val="Normal"/>
        <w:tabs>
          <w:tab w:val="left" w:pos="720" w:leader="none"/>
          <w:tab w:val="left" w:pos="2736" w:leader="none"/>
          <w:tab w:val="left" w:pos="3312" w:leader="none"/>
          <w:tab w:val="left" w:pos="3888" w:leader="none"/>
          <w:tab w:val="left" w:pos="4464" w:leader="none"/>
          <w:tab w:val="left" w:pos="10368" w:leader="none"/>
        </w:tabs>
        <w:ind w:start="1440" w:end="0"/>
        <w:jc w:val="both"/>
        <w:rPr/>
      </w:pPr>
      <w:r>
        <w:rPr/>
        <w:t>ANSI/API 2530 (AGA Report No.3)</w:t>
      </w:r>
    </w:p>
    <w:p>
      <w:pPr>
        <w:pStyle w:val="Normal"/>
        <w:tabs>
          <w:tab w:val="left" w:pos="720" w:leader="none"/>
          <w:tab w:val="left" w:pos="2736" w:leader="none"/>
          <w:tab w:val="left" w:pos="3312" w:leader="none"/>
          <w:tab w:val="left" w:pos="3888" w:leader="none"/>
          <w:tab w:val="left" w:pos="4464" w:leader="none"/>
          <w:tab w:val="left" w:pos="10368" w:leader="none"/>
        </w:tabs>
        <w:ind w:start="1440" w:end="0"/>
        <w:jc w:val="both"/>
        <w:rPr/>
      </w:pPr>
      <w:r>
        <w:rPr/>
        <w:t>49 CFR Part 192</w:t>
      </w:r>
    </w:p>
    <w:p>
      <w:pPr>
        <w:pStyle w:val="Normal"/>
        <w:tabs>
          <w:tab w:val="left" w:pos="720" w:leader="none"/>
          <w:tab w:val="left" w:pos="2736" w:leader="none"/>
          <w:tab w:val="left" w:pos="3312" w:leader="none"/>
          <w:tab w:val="left" w:pos="3888" w:leader="none"/>
          <w:tab w:val="left" w:pos="4464" w:leader="none"/>
          <w:tab w:val="left" w:pos="10368" w:leader="none"/>
        </w:tabs>
        <w:ind w:start="1440" w:end="0"/>
        <w:jc w:val="both"/>
        <w:rPr/>
      </w:pPr>
      <w:r>
        <w:rPr/>
        <w:t>American Petroleum Institute (API) 1104, "Standard for Welding Pipelines and Related Facilities"</w:t>
      </w:r>
    </w:p>
    <w:p>
      <w:pPr>
        <w:pStyle w:val="Normal"/>
        <w:tabs>
          <w:tab w:val="left" w:pos="720" w:leader="none"/>
          <w:tab w:val="left" w:pos="2736" w:leader="none"/>
          <w:tab w:val="left" w:pos="3312" w:leader="none"/>
          <w:tab w:val="left" w:pos="3888" w:leader="none"/>
          <w:tab w:val="left" w:pos="4464" w:leader="none"/>
          <w:tab w:val="left" w:pos="10368" w:leader="none"/>
        </w:tabs>
        <w:ind w:start="1440" w:end="0"/>
        <w:jc w:val="both"/>
        <w:rPr/>
      </w:pPr>
      <w:r>
        <w:rPr/>
        <w:t>Engineering Standards 5421</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start="1440" w:end="0"/>
        <w:jc w:val="both"/>
        <w:rPr/>
      </w:pPr>
      <w:r>
        <w:rPr/>
        <w:t>Operating Procedure 60.202, 60.202A</w:t>
      </w:r>
    </w:p>
    <w:p>
      <w:pPr>
        <w:pStyle w:val="Normal"/>
        <w:tabs>
          <w:tab w:val="clear" w:pos="720"/>
          <w:tab w:val="left" w:pos="2736" w:leader="none"/>
          <w:tab w:val="left" w:pos="3312" w:leader="none"/>
          <w:tab w:val="left" w:pos="3888" w:leader="none"/>
          <w:tab w:val="left" w:pos="4464" w:leader="none"/>
          <w:tab w:val="left" w:pos="10368" w:leader="none"/>
        </w:tabs>
        <w:spacing w:before="0" w:after="240"/>
        <w:ind w:hanging="720" w:start="1440" w:end="0"/>
        <w:jc w:val="both"/>
        <w:rPr/>
      </w:pPr>
      <w:r>
        <w:rPr>
          <w:b/>
          <w:bCs/>
        </w:rPr>
        <w:t>NOTE:</w:t>
      </w:r>
      <w:r>
        <w:rPr/>
        <w:tab/>
        <w:t>ANSI/API 2530, AGA Report No. 3, API 14.3 and GPA 8185 are considered equivalent standards and compliance with any one achieves compliance with the others.</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jc w:val="both"/>
        <w:rPr/>
      </w:pPr>
      <w:r>
        <w:rPr/>
        <w:t xml:space="preserve"> </w:t>
      </w:r>
      <w:r>
        <w:rPr/>
        <w:t>3.</w:t>
        <w:tab/>
      </w:r>
      <w:r>
        <w:rPr>
          <w:b/>
          <w:bCs/>
        </w:rPr>
        <w:t>DESIGN</w:t>
      </w:r>
    </w:p>
    <w:p>
      <w:pPr>
        <w:pStyle w:val="Normal"/>
        <w:tabs>
          <w:tab w:val="clear" w:pos="720"/>
          <w:tab w:val="left" w:pos="2736" w:leader="none"/>
          <w:tab w:val="left" w:pos="3312" w:leader="none"/>
          <w:tab w:val="left" w:pos="3888" w:leader="none"/>
          <w:tab w:val="left" w:pos="4464" w:leader="none"/>
          <w:tab w:val="left" w:pos="10368" w:leader="none"/>
        </w:tabs>
        <w:spacing w:before="0" w:after="240"/>
        <w:ind w:hanging="720" w:start="1440" w:end="0"/>
        <w:jc w:val="both"/>
        <w:rPr/>
      </w:pPr>
      <w:r>
        <w:rPr/>
        <w:t>3.1</w:t>
        <w:tab/>
        <w:t>Meter tubes will be shop fabricated from pipe and fittings.  The orifice fitting may be a double or single chambered type or a pair of orifice flanges depending on the application.</w:t>
      </w:r>
    </w:p>
    <w:p>
      <w:pPr>
        <w:pStyle w:val="Normal"/>
        <w:tabs>
          <w:tab w:val="left" w:pos="720" w:leader="none"/>
          <w:tab w:val="left" w:pos="1440" w:leader="none"/>
          <w:tab w:val="left" w:pos="3312" w:leader="none"/>
          <w:tab w:val="left" w:pos="3888" w:leader="none"/>
          <w:tab w:val="left" w:pos="4464" w:leader="none"/>
          <w:tab w:val="left" w:pos="10368" w:leader="none"/>
        </w:tabs>
        <w:spacing w:before="0" w:after="240"/>
        <w:ind w:hanging="2400" w:start="2400" w:end="0"/>
        <w:jc w:val="both"/>
        <w:rPr/>
      </w:pPr>
      <w:r>
        <w:rPr/>
        <w:tab/>
        <w:tab/>
        <w:t>3.1.1</w:t>
        <w:tab/>
        <w:t>Double chambered (senior) orifice fittings allow removal of the orifice plate under pressure without interrupting flow.  This fitting should be used in applications in which frequent (quarterly) inspection of the orifice plate is required and the meter cannot be taken out of service.  Typical applications include single run sales facilities without by-pass, offshore platforms, and meter runs for volumes in excess of 5 MMCF/D.</w:t>
      </w:r>
    </w:p>
    <w:p>
      <w:pPr>
        <w:pStyle w:val="Normal"/>
        <w:tabs>
          <w:tab w:val="left" w:pos="720" w:leader="none"/>
          <w:tab w:val="left" w:pos="1440" w:leader="none"/>
          <w:tab w:val="left" w:pos="3312" w:leader="none"/>
          <w:tab w:val="left" w:pos="3888" w:leader="none"/>
          <w:tab w:val="left" w:pos="4464" w:leader="none"/>
          <w:tab w:val="left" w:pos="10368" w:leader="none"/>
        </w:tabs>
        <w:spacing w:before="0" w:after="240"/>
        <w:ind w:hanging="2400" w:start="2400" w:end="0"/>
        <w:jc w:val="both"/>
        <w:rPr/>
      </w:pPr>
      <w:r>
        <w:rPr/>
        <w:tab/>
        <w:tab/>
        <w:t>3.1.2</w:t>
        <w:tab/>
        <w:t>Single chambered (simplex or junior) orifice fittings require depressurization for removal of the orifice plate.  Typical applications include unit fuel gas, wellhead measurement and multiple meter runs where outages of minimal duration are acceptable.</w:t>
      </w:r>
    </w:p>
    <w:p>
      <w:pPr>
        <w:pStyle w:val="Normal"/>
        <w:tabs>
          <w:tab w:val="left" w:pos="720" w:leader="none"/>
          <w:tab w:val="left" w:pos="1440" w:leader="none"/>
          <w:tab w:val="left" w:pos="3312" w:leader="none"/>
          <w:tab w:val="left" w:pos="3888" w:leader="none"/>
          <w:tab w:val="left" w:pos="4464" w:leader="none"/>
          <w:tab w:val="left" w:pos="10368" w:leader="none"/>
        </w:tabs>
        <w:spacing w:before="0" w:after="240"/>
        <w:ind w:hanging="2400" w:start="2400" w:end="0"/>
        <w:jc w:val="both"/>
        <w:rPr/>
      </w:pPr>
      <w:r>
        <w:rPr/>
        <w:tab/>
        <w:tab/>
        <w:t>3.1.3</w:t>
        <w:tab/>
        <w:t>Orifice flange fittings require depressurization of the system and unbolting of the flanges for plate inspection and may be considered for applications where disassembly of the flanged connection is practical, measurement may be shutdown or by-passed for the required amount of time without an operational problem and infrequent plate inspection is required.  Orifice flange fittings should not be used for measurement of custody transfer volumes.</w:t>
      </w:r>
    </w:p>
    <w:p>
      <w:pPr>
        <w:pStyle w:val="Normal"/>
        <w:tabs>
          <w:tab w:val="clear" w:pos="720"/>
          <w:tab w:val="left" w:pos="2736" w:leader="none"/>
          <w:tab w:val="left" w:pos="3312" w:leader="none"/>
          <w:tab w:val="left" w:pos="3888" w:leader="none"/>
          <w:tab w:val="left" w:pos="4464" w:leader="none"/>
          <w:tab w:val="left" w:pos="10368" w:leader="none"/>
        </w:tabs>
        <w:spacing w:before="0" w:after="240"/>
        <w:ind w:hanging="720" w:start="1440" w:end="0"/>
        <w:jc w:val="both"/>
        <w:rPr/>
      </w:pPr>
      <w:r>
        <w:rPr/>
        <w:t>3.2</w:t>
        <w:tab/>
        <w:t>All orifice meter tubes are to be purchased in accordance with Engineering Standard 5421 and an applicable fabrication detail drawing.  See available Engineering Standards (5400 series) for fabrication drawings for skid mounted meter runs.</w:t>
      </w:r>
    </w:p>
    <w:p>
      <w:pPr>
        <w:pStyle w:val="Normal"/>
        <w:tabs>
          <w:tab w:val="clear" w:pos="720"/>
          <w:tab w:val="left" w:pos="2736" w:leader="none"/>
          <w:tab w:val="left" w:pos="3312" w:leader="none"/>
          <w:tab w:val="left" w:pos="3888" w:leader="none"/>
          <w:tab w:val="left" w:pos="4464" w:leader="none"/>
          <w:tab w:val="left" w:pos="10368" w:leader="none"/>
        </w:tabs>
        <w:spacing w:before="0" w:after="240"/>
        <w:ind w:hanging="720" w:start="1440" w:end="0"/>
        <w:jc w:val="both"/>
        <w:rPr/>
      </w:pPr>
      <w:r>
        <w:rPr/>
        <w:t>3.3</w:t>
        <w:tab/>
        <w:t>Select the tube diameter necessary for the expected flowing volumes.  For approximate sizing, slide rule calculators can be used or computer programs are available for determining sizes.</w:t>
      </w:r>
      <w:r>
        <w:br w:type="page"/>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 xml:space="preserve"> </w:t>
      </w:r>
      <w:r>
        <w:rPr/>
        <w:t>*</w:t>
        <w:tab/>
        <w:t>3.4</w:t>
        <w:tab/>
        <w:t>For new or modified facilities, flange taps should be used with an orifice to pipe diameter ratio (Beta ratio) in the range of 0.20 to 0.60.  After installation, operating conditions may change and operation of existing facilities outside these limits may be acceptable where necessary to produce low volume wells in a cost effective manner, provided the Beta ratio does not exceed 0.70 and does not exceed 0.60 for more than 10% of the time, or for other economic reasons as evaluated by Technical Operations.  See the table below for guidelines for the design range for differential pressure.</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ab/>
        <w:t xml:space="preserve"> *</w:t>
        <w:tab/>
        <w:t xml:space="preserve">Generally the design range for differential pressure should be 10 to 90 inches of water column for chart recorders and 5 to 135 inches of water column for electronic flow measurement (EFM).  For static pressures of 200 psig or greater, design ranges of 20 to 180 inches for chart recorders and 10 to 180 inches for EFM can be used in order to reduce facility cost with no loss of accuracy.  For low static pressure facilities ( </w:t>
      </w:r>
      <w:r>
        <w:rPr>
          <w:u w:val="single"/>
        </w:rPr>
        <w:t>&lt;</w:t>
      </w:r>
      <w:r>
        <w:rPr/>
        <w:t xml:space="preserve"> 50 psig), a design range of 0 to 20 inches of water column is generally used to reduce pressure drop.</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ind w:hanging="1584" w:start="1584" w:end="0"/>
        <w:jc w:val="both"/>
        <w:rPr/>
      </w:pPr>
      <w:r>
        <w:rPr/>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ind w:hanging="720" w:start="720" w:end="0"/>
        <w:jc w:val="both"/>
        <w:rPr/>
      </w:pPr>
      <w:r>
        <w:rPr/>
        <w:t xml:space="preserve"> </w:t>
      </w:r>
      <w:r>
        <w:rPr/>
        <w:t>4.</w:t>
        <w:tab/>
      </w:r>
      <w:r>
        <w:rPr>
          <w:b/>
          <w:bCs/>
        </w:rPr>
        <w:t>TESTING AND INSPECTION</w:t>
      </w:r>
    </w:p>
    <w:p>
      <w:pPr>
        <w:pStyle w:val="Normal"/>
        <w:tabs>
          <w:tab w:val="clear" w:pos="720"/>
          <w:tab w:val="left" w:pos="2736" w:leader="none"/>
          <w:tab w:val="left" w:pos="3312" w:leader="none"/>
          <w:tab w:val="left" w:pos="3888" w:leader="none"/>
          <w:tab w:val="left" w:pos="4464" w:leader="none"/>
          <w:tab w:val="left" w:pos="10368" w:leader="none"/>
        </w:tabs>
        <w:spacing w:before="0" w:after="240"/>
        <w:ind w:hanging="720" w:start="1440" w:end="0"/>
        <w:jc w:val="both"/>
        <w:rPr/>
      </w:pPr>
      <w:r>
        <w:rPr/>
        <w:t>4.1</w:t>
        <w:tab/>
        <w:t>Meter tubes should be hydrostatically tested by the vendor to a minimum of 1.5 times the design pressure for a minimum of 4 hours.  The test pressure and temperature must be recorded by the vendor using a properly calibrated recorder and the test chart furnished to the Company.</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 xml:space="preserve"> </w:t>
      </w:r>
      <w:r>
        <w:rPr/>
        <w:t>*</w:t>
        <w:tab/>
        <w:t>4.2</w:t>
        <w:tab/>
        <w:t xml:space="preserve">Vendor is to notify the Company receiving location or other responsible party prior to shipment so that the meter tube may be inspected and the micrometer measurements may be witnessed.  Shop inspection of meter tubes is optional depending on size, configuration and application.  However, </w:t>
      </w:r>
      <w:r>
        <w:rPr>
          <w:spacing w:val="-3"/>
        </w:rPr>
        <w:t>it is important that all meter tubes purchased by the Company or purchased by others to be used for measurement of gas credited or debited to the Company, be carefully inspected.</w:t>
      </w:r>
    </w:p>
    <w:p>
      <w:pPr>
        <w:pStyle w:val="Normal"/>
        <w:tabs>
          <w:tab w:val="clear" w:pos="720"/>
          <w:tab w:val="left" w:pos="2736" w:leader="none"/>
          <w:tab w:val="left" w:pos="3312" w:leader="none"/>
          <w:tab w:val="left" w:pos="3888" w:leader="none"/>
          <w:tab w:val="left" w:pos="4464" w:leader="none"/>
          <w:tab w:val="left" w:pos="10368" w:leader="none"/>
        </w:tabs>
        <w:spacing w:before="0" w:after="240"/>
        <w:ind w:hanging="720" w:start="1440" w:end="0"/>
        <w:jc w:val="both"/>
        <w:rPr/>
      </w:pPr>
      <w:r>
        <w:rPr/>
        <w:t>4.3</w:t>
        <w:tab/>
        <w:t>Any final inspection should include a review of the radiographic log and film and hydrostatic test data and verification of dimensional data.</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ind w:hanging="720" w:start="720" w:end="0"/>
        <w:jc w:val="both"/>
        <w:rPr/>
      </w:pPr>
      <w:r>
        <w:rPr/>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ind w:hanging="720" w:start="720" w:end="0"/>
        <w:jc w:val="both"/>
        <w:rPr/>
      </w:pPr>
      <w:r>
        <w:rPr/>
        <w:t>5.</w:t>
        <w:tab/>
      </w:r>
      <w:r>
        <w:rPr>
          <w:b/>
          <w:bCs/>
        </w:rPr>
        <w:t>RECORDS</w:t>
      </w:r>
    </w:p>
    <w:p>
      <w:pPr>
        <w:pStyle w:val="Normal"/>
        <w:tabs>
          <w:tab w:val="clear" w:pos="720"/>
          <w:tab w:val="left" w:pos="2736" w:leader="none"/>
          <w:tab w:val="left" w:pos="3312" w:leader="none"/>
          <w:tab w:val="left" w:pos="3888" w:leader="none"/>
          <w:tab w:val="left" w:pos="4464" w:leader="none"/>
          <w:tab w:val="left" w:pos="10368" w:leader="none"/>
        </w:tabs>
        <w:spacing w:before="0" w:after="240"/>
        <w:ind w:hanging="720" w:start="1440" w:end="0"/>
        <w:jc w:val="both"/>
        <w:rPr/>
      </w:pPr>
      <w:r>
        <w:rPr/>
        <w:t>5.1</w:t>
        <w:tab/>
        <w:t>Certified drawings, certifications of compliance, micrometer and dimensional data and pressure test data for the meter tube shall be transmitted in the as-built package and retained for the life of the meter tube.</w:t>
      </w:r>
    </w:p>
    <w:p>
      <w:pPr>
        <w:pStyle w:val="Normal"/>
        <w:tabs>
          <w:tab w:val="clear" w:pos="720"/>
          <w:tab w:val="left" w:pos="2736" w:leader="none"/>
          <w:tab w:val="left" w:pos="3312" w:leader="none"/>
          <w:tab w:val="left" w:pos="3888" w:leader="none"/>
          <w:tab w:val="left" w:pos="4464" w:leader="none"/>
          <w:tab w:val="left" w:pos="10368" w:leader="none"/>
        </w:tabs>
        <w:spacing w:before="0" w:after="240"/>
        <w:ind w:hanging="720" w:start="1440" w:end="0"/>
        <w:jc w:val="both"/>
        <w:rPr/>
      </w:pPr>
      <w:r>
        <w:rPr/>
        <w:t>5.2</w:t>
        <w:tab/>
        <w:t>Certified micrometer measurements must be obtained from the vendor, verified by an inspection of the meter tube by a Company representative prior to installation and transmitted in accordance with Operating Procedure 60.202 and 60.202A.</w:t>
      </w:r>
    </w:p>
    <w:p>
      <w:pPr>
        <w:pStyle w:val="Normal"/>
        <w:rPr/>
      </w:pPr>
      <w:r>
        <w:rPr/>
      </w:r>
    </w:p>
    <w:sectPr>
      <w:headerReference w:type="default" r:id="rId2"/>
      <w:footerReference w:type="default" r:id="rId3"/>
      <w:type w:val="nextPage"/>
      <w:pgSz w:w="12240" w:h="15840"/>
      <w:pgMar w:left="960" w:right="1200" w:gutter="0" w:header="480" w:top="2640" w:footer="480"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 w:name="Arial">
    <w:charset w:val="01"/>
    <w:family w:val="swiss"/>
    <w:pitch w:val="variable"/>
  </w:font>
  <w:font w:name="CG Times (W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sz w:val="16"/>
        <w:szCs w:val="16"/>
      </w:rPr>
      <w:t>Indicates revised paragraph, this Rev. No.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2100"/>
      <w:gridCol w:w="5940"/>
      <w:gridCol w:w="900"/>
      <w:gridCol w:w="1500"/>
    </w:tblGrid>
    <w:tr>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lang w:val="en-CA"/>
            </w:rPr>
          </w:pPr>
          <w:r>
            <w:rPr>
              <w:rFonts w:eastAsia="Arial Narrow" w:cs="Arial Narrow" w:ascii="Arial Narrow" w:hAnsi="Arial Narrow"/>
              <w:b/>
              <w:bCs/>
              <w:lang w:val="en-CA"/>
            </w:rPr>
            <mc:AlternateContent>
              <mc:Choice Requires="wps">
                <w:drawing>
                  <wp:anchor behindDoc="0" distT="0" distB="0" distL="0" distR="0" simplePos="0" locked="0" layoutInCell="0" allowOverlap="1" relativeHeight="9">
                    <wp:simplePos x="0" y="0"/>
                    <wp:positionH relativeFrom="margin">
                      <wp:posOffset>-76200</wp:posOffset>
                    </wp:positionH>
                    <wp:positionV relativeFrom="margin">
                      <wp:posOffset>-1371600</wp:posOffset>
                    </wp:positionV>
                    <wp:extent cx="6629400" cy="9296400"/>
                    <wp:effectExtent l="12700" t="12700" r="12700" b="12700"/>
                    <wp:wrapNone/>
                    <wp:docPr id="1" name=""/>
                    <a:graphic xmlns:a="http://schemas.openxmlformats.org/drawingml/2006/main">
                      <a:graphicData uri="http://schemas.microsoft.com/office/word/2010/wordprocessingShape">
                        <wps:wsp>
                          <wps:cNvSpPr/>
                          <wps:nvSpPr>
                            <wps:cNvPr id="2" name=""/>
                            <wps:cNvSpPr/>
                          </wps:nvSpPr>
                          <wps:spPr>
                            <a:xfrm>
                              <a:off x="0" y="0"/>
                              <a:ext cx="6629400" cy="9296280"/>
                            </a:xfrm>
                            <a:prstGeom prst="rect">
                              <a:avLst/>
                            </a:prstGeom>
                            <a:noFill/>
                            <a:ln w="25560">
                              <a:solidFill>
                                <a:srgbClr val="000000"/>
                              </a:solidFill>
                              <a:round/>
                            </a:ln>
                          </wps:spPr>
                          <wps:bodyPr/>
                        </wps:wsp>
                      </a:graphicData>
                    </a:graphic>
                  </wp:anchor>
                </w:drawing>
              </mc:Choice>
              <mc:Fallback>
                <w:pict>
                  <v:rect id="shape_0" stroked="t" o:allowincell="f" style="position:absolute;margin-left:-6pt;margin-top:-108pt;width:521.95pt;height:731.95pt;mso-wrap-style:none;v-text-anchor:middle;mso-position-horizontal-relative:margin;mso-position-vertical-relative:margin">
                    <v:fill o:detectmouseclick="t" on="false"/>
                    <v:stroke color="black" weight="25560" joinstyle="round" endcap="flat"/>
                    <w10:wrap type="none"/>
                  </v:rect>
                </w:pict>
              </mc:Fallback>
            </mc:AlternateContent>
          </w:r>
        </w:p>
      </w:tc>
      <w:tc>
        <w:tcPr>
          <w:tcW w:w="5940" w:type="dxa"/>
          <w:tcBorders>
            <w:top w:val="dashed" w:sz="6" w:space="0" w:color="auto"/>
            <w:start w:val="dashed" w:sz="6" w:space="0" w:color="auto"/>
            <w:bottom w:val="single" w:sz="6" w:space="0" w:color="000000"/>
            <w:end w:val="single" w:sz="6" w:space="0" w:color="000000"/>
          </w:tcBorders>
        </w:tcPr>
        <w:p>
          <w:pPr>
            <w:pStyle w:val="Header"/>
            <w:tabs>
              <w:tab w:val="clear" w:pos="4320"/>
              <w:tab w:val="clear" w:pos="8640"/>
              <w:tab w:val="center" w:pos="4920" w:leader="none"/>
              <w:tab w:val="right" w:pos="10080" w:leader="none"/>
            </w:tabs>
            <w:jc w:val="center"/>
            <w:rPr>
              <w:rFonts w:ascii="CG Times (WN)" w:hAnsi="CG Times (WN)" w:eastAsia="CG Times (WN)" w:cs="CG Times (WN)"/>
              <w:b/>
              <w:bCs/>
              <w:sz w:val="30"/>
              <w:szCs w:val="30"/>
            </w:rPr>
          </w:pPr>
          <w:r>
            <w:rPr>
              <w:rFonts w:eastAsia="Arial" w:cs="Arial" w:ascii="Arial" w:hAnsi="Arial"/>
              <w:b/>
              <w:bCs/>
              <w:position w:val="-6"/>
              <w:sz w:val="28"/>
              <w:szCs w:val="28"/>
            </w:rPr>
            <w:t>Engineering Standards</w:t>
          </w:r>
        </w:p>
      </w:tc>
      <w:tc>
        <w:tcPr>
          <w:tcW w:w="900" w:type="dxa"/>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ind w:start="-60" w:end="0"/>
            <w:rPr>
              <w:rFonts w:ascii="Arial" w:hAnsi="Arial" w:eastAsia="Arial" w:cs="Arial"/>
              <w:sz w:val="12"/>
              <w:szCs w:val="12"/>
            </w:rPr>
          </w:pPr>
          <w:r>
            <w:rPr>
              <w:rFonts w:eastAsia="Arial" w:cs="Arial" w:ascii="Arial" w:hAnsi="Arial"/>
              <w:sz w:val="12"/>
              <w:szCs w:val="12"/>
            </w:rPr>
            <w:t>Standard</w:t>
          </w:r>
        </w:p>
      </w:tc>
      <w:tc>
        <w:tcPr>
          <w:tcW w:w="1500" w:type="dxa"/>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snapToGrid w:val="false"/>
            <w:ind w:end="204"/>
            <w:jc w:val="end"/>
            <w:rPr>
              <w:rFonts w:ascii="Arial" w:hAnsi="Arial" w:eastAsia="Arial" w:cs="Arial"/>
              <w:sz w:val="16"/>
              <w:szCs w:val="16"/>
            </w:rPr>
          </w:pPr>
          <w:r>
            <w:rPr>
              <w:rFonts w:eastAsia="Arial" w:cs="Arial" w:ascii="Arial" w:hAnsi="Arial"/>
              <w:sz w:val="16"/>
              <w:szCs w:val="16"/>
            </w:rPr>
          </w:r>
        </w:p>
        <w:p>
          <w:pPr>
            <w:pStyle w:val="Header"/>
            <w:tabs>
              <w:tab w:val="clear" w:pos="4320"/>
              <w:tab w:val="clear" w:pos="8640"/>
              <w:tab w:val="center" w:pos="4920" w:leader="none"/>
              <w:tab w:val="right" w:pos="10080" w:leader="none"/>
            </w:tabs>
            <w:ind w:end="204"/>
            <w:jc w:val="end"/>
            <w:rPr/>
          </w:pPr>
          <w:r>
            <w:rPr/>
            <w:t>5420</w:t>
          </w:r>
        </w:p>
      </w:tc>
    </w:tr>
    <w:tr>
      <w:trPr>
        <w:trHeight w:val="200" w:hRule="atLeast"/>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sz w:val="16"/>
              <w:szCs w:val="16"/>
            </w:rPr>
          </w:pPr>
          <w:r>
            <w:rPr>
              <w:rFonts w:eastAsia="Arial Narrow" w:cs="Arial Narrow" w:ascii="Arial Narrow" w:hAnsi="Arial Narrow"/>
              <w:b/>
              <w:bCs/>
              <w:sz w:val="16"/>
              <w:szCs w:val="16"/>
            </w:rPr>
          </w:r>
        </w:p>
      </w:tc>
      <w:tc>
        <w:tcPr>
          <w:tcW w:w="594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sz w:val="16"/>
              <w:szCs w:val="16"/>
            </w:rPr>
          </w:pPr>
          <w:r>
            <w:rPr>
              <w:rFonts w:eastAsia="Arial Narrow" w:cs="Arial Narrow" w:ascii="Arial Narrow" w:hAnsi="Arial Narrow"/>
              <w:b/>
              <w:bCs/>
              <w:sz w:val="16"/>
              <w:szCs w:val="16"/>
            </w:rPr>
          </w:r>
        </w:p>
      </w:tc>
      <w:tc>
        <w:tcPr>
          <w:tcW w:w="9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ind w:start="-60" w:end="0"/>
            <w:rPr>
              <w:rFonts w:ascii="Arial" w:hAnsi="Arial" w:eastAsia="Arial" w:cs="Arial"/>
              <w:sz w:val="16"/>
              <w:szCs w:val="16"/>
            </w:rPr>
          </w:pPr>
          <w:r>
            <w:rPr>
              <w:rFonts w:eastAsia="Arial" w:cs="Arial" w:ascii="Arial" w:hAnsi="Arial"/>
              <w:sz w:val="12"/>
              <w:szCs w:val="12"/>
            </w:rPr>
            <w:t>Page</w:t>
          </w:r>
        </w:p>
      </w:tc>
      <w:tc>
        <w:tcPr>
          <w:tcW w:w="15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snapToGrid w:val="false"/>
            <w:ind w:start="-120" w:end="204"/>
            <w:jc w:val="end"/>
            <w:rPr>
              <w:rFonts w:ascii="Arial" w:hAnsi="Arial" w:eastAsia="Arial" w:cs="Arial"/>
              <w:sz w:val="16"/>
              <w:szCs w:val="16"/>
            </w:rPr>
          </w:pPr>
          <w:r>
            <w:rPr>
              <w:rFonts w:eastAsia="Arial" w:cs="Arial" w:ascii="Arial" w:hAnsi="Arial"/>
              <w:sz w:val="16"/>
              <w:szCs w:val="16"/>
            </w:rPr>
          </w:r>
        </w:p>
      </w:tc>
    </w:tr>
    <w:tr>
      <w:trPr>
        <w:trHeight w:val="200" w:hRule="atLeast"/>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drawing>
              <wp:inline distT="0" distB="0" distL="0" distR="0">
                <wp:extent cx="574040" cy="12573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tretch>
                          <a:fillRect/>
                        </a:stretch>
                      </pic:blipFill>
                      <pic:spPr bwMode="auto">
                        <a:xfrm>
                          <a:off x="0" y="0"/>
                          <a:ext cx="574040" cy="125730"/>
                        </a:xfrm>
                        <a:prstGeom prst="rect">
                          <a:avLst/>
                        </a:prstGeom>
                        <a:noFill/>
                      </pic:spPr>
                    </pic:pic>
                  </a:graphicData>
                </a:graphic>
              </wp:inline>
            </w:drawing>
          </w:r>
        </w:p>
      </w:tc>
      <w:tc>
        <w:tcPr>
          <w:tcW w:w="594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b/>
              <w:bCs/>
            </w:rPr>
          </w:pPr>
          <w:r>
            <w:rPr>
              <w:b/>
              <w:bCs/>
            </w:rPr>
          </w:r>
        </w:p>
      </w:tc>
      <w:tc>
        <w:tcPr>
          <w:tcW w:w="900" w:type="dxa"/>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snapToGrid w:val="false"/>
            <w:ind w:start="-60" w:end="0"/>
            <w:rPr>
              <w:rFonts w:ascii="Arial" w:hAnsi="Arial" w:eastAsia="Arial" w:cs="Arial"/>
              <w:b/>
              <w:bCs/>
            </w:rPr>
          </w:pPr>
          <w:r>
            <w:rPr>
              <w:rFonts w:eastAsia="Arial" w:cs="Arial" w:ascii="Arial" w:hAnsi="Arial"/>
              <w:b/>
              <w:bCs/>
            </w:rPr>
          </w:r>
        </w:p>
      </w:tc>
      <w:tc>
        <w:tcPr>
          <w:tcW w:w="1500" w:type="dxa"/>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ind w:end="204"/>
            <w:jc w:val="end"/>
            <w:rPr/>
          </w:pPr>
          <w:r>
            <w:rPr/>
            <w:fldChar w:fldCharType="begin"/>
          </w:r>
          <w:r>
            <w:rPr/>
            <w:instrText xml:space="preserve"> PAGE </w:instrText>
          </w:r>
          <w:r>
            <w:rPr/>
            <w:fldChar w:fldCharType="separate"/>
          </w:r>
          <w:r>
            <w:rPr/>
            <w:t>2</w:t>
          </w:r>
          <w:r>
            <w:rPr/>
            <w:fldChar w:fldCharType="end"/>
          </w:r>
          <w:r>
            <w:rPr/>
            <w:t xml:space="preserve"> </w:t>
          </w:r>
          <w:r>
            <w:rPr/>
            <w:t xml:space="preserve">of </w:t>
          </w:r>
          <w:r>
            <w:rPr/>
            <w:fldChar w:fldCharType="begin"/>
          </w:r>
          <w:r>
            <w:rPr/>
            <w:instrText xml:space="preserve"> NUMPAGES \* ARABIC </w:instrText>
          </w:r>
          <w:r>
            <w:rPr/>
            <w:fldChar w:fldCharType="separate"/>
          </w:r>
          <w:r>
            <w:rPr/>
            <w:t>2</w:t>
          </w:r>
          <w:r>
            <w:rPr/>
            <w:fldChar w:fldCharType="end"/>
          </w:r>
        </w:p>
      </w:tc>
    </w:tr>
    <w:tr>
      <w:trPr>
        <w:trHeight w:val="200" w:hRule="atLeast"/>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drawing>
              <wp:inline distT="0" distB="0" distL="0" distR="0">
                <wp:extent cx="1029970" cy="128270"/>
                <wp:effectExtent l="0" t="0" r="0" b="0"/>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2"/>
                        <a:stretch>
                          <a:fillRect/>
                        </a:stretch>
                      </pic:blipFill>
                      <pic:spPr bwMode="auto">
                        <a:xfrm>
                          <a:off x="0" y="0"/>
                          <a:ext cx="1029970" cy="128270"/>
                        </a:xfrm>
                        <a:prstGeom prst="rect">
                          <a:avLst/>
                        </a:prstGeom>
                        <a:noFill/>
                      </pic:spPr>
                    </pic:pic>
                  </a:graphicData>
                </a:graphic>
              </wp:inline>
            </w:drawing>
          </w:r>
        </w:p>
      </w:tc>
      <w:tc>
        <w:tcPr>
          <w:tcW w:w="594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t>DESIGN GUIDELINE FOR</w:t>
          </w:r>
        </w:p>
      </w:tc>
      <w:tc>
        <w:tcPr>
          <w:tcW w:w="9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ind w:start="-60" w:end="0"/>
            <w:rPr>
              <w:rFonts w:ascii="Arial" w:hAnsi="Arial" w:eastAsia="Arial" w:cs="Arial"/>
              <w:sz w:val="12"/>
              <w:szCs w:val="12"/>
            </w:rPr>
          </w:pPr>
          <w:r>
            <w:rPr>
              <w:rFonts w:eastAsia="Arial" w:cs="Arial" w:ascii="Arial" w:hAnsi="Arial"/>
              <w:sz w:val="12"/>
              <w:szCs w:val="12"/>
            </w:rPr>
            <w:t>Issue Date</w:t>
          </w:r>
        </w:p>
      </w:tc>
      <w:tc>
        <w:tcPr>
          <w:tcW w:w="15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snapToGrid w:val="false"/>
            <w:ind w:end="204"/>
            <w:jc w:val="end"/>
            <w:rPr>
              <w:rFonts w:ascii="Arial" w:hAnsi="Arial" w:eastAsia="Arial" w:cs="Arial"/>
              <w:sz w:val="12"/>
              <w:szCs w:val="12"/>
            </w:rPr>
          </w:pPr>
          <w:r>
            <w:rPr>
              <w:rFonts w:eastAsia="Arial" w:cs="Arial" w:ascii="Arial" w:hAnsi="Arial"/>
              <w:sz w:val="12"/>
              <w:szCs w:val="12"/>
            </w:rPr>
          </w:r>
        </w:p>
      </w:tc>
    </w:tr>
    <w:tr>
      <w:trPr>
        <w:trHeight w:val="200" w:hRule="atLeast"/>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drawing>
              <wp:inline distT="0" distB="0" distL="0" distR="0">
                <wp:extent cx="434340" cy="129540"/>
                <wp:effectExtent l="0" t="0" r="0" b="0"/>
                <wp:docPr id="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title=""/>
                        <pic:cNvPicPr>
                          <a:picLocks noChangeAspect="1" noChangeArrowheads="1"/>
                        </pic:cNvPicPr>
                      </pic:nvPicPr>
                      <pic:blipFill>
                        <a:blip r:embed="rId3"/>
                        <a:stretch>
                          <a:fillRect/>
                        </a:stretch>
                      </pic:blipFill>
                      <pic:spPr bwMode="auto">
                        <a:xfrm>
                          <a:off x="0" y="0"/>
                          <a:ext cx="434340" cy="129540"/>
                        </a:xfrm>
                        <a:prstGeom prst="rect">
                          <a:avLst/>
                        </a:prstGeom>
                        <a:noFill/>
                      </pic:spPr>
                    </pic:pic>
                  </a:graphicData>
                </a:graphic>
              </wp:inline>
            </w:drawing>
          </w:r>
        </w:p>
      </w:tc>
      <w:tc>
        <w:tcPr>
          <w:tcW w:w="594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t>ORIFICE METER TUBES</w:t>
          </w:r>
        </w:p>
      </w:tc>
      <w:tc>
        <w:tcPr>
          <w:tcW w:w="900" w:type="dxa"/>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snapToGrid w:val="false"/>
            <w:ind w:start="-60" w:end="0"/>
            <w:rPr>
              <w:rFonts w:ascii="Arial" w:hAnsi="Arial" w:eastAsia="Arial" w:cs="Arial"/>
              <w:b/>
              <w:bCs/>
            </w:rPr>
          </w:pPr>
          <w:r>
            <w:rPr>
              <w:rFonts w:eastAsia="Arial" w:cs="Arial" w:ascii="Arial" w:hAnsi="Arial"/>
              <w:b/>
              <w:bCs/>
            </w:rPr>
          </w:r>
        </w:p>
      </w:tc>
      <w:tc>
        <w:tcPr>
          <w:tcW w:w="1500" w:type="dxa"/>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ind w:end="204"/>
            <w:jc w:val="end"/>
            <w:rPr/>
          </w:pPr>
          <w:r>
            <w:rPr/>
            <w:t>06/86</w:t>
          </w:r>
        </w:p>
      </w:tc>
    </w:tr>
    <w:tr>
      <w:trPr>
        <w:trHeight w:val="200" w:hRule="atLeast"/>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rPr>
          </w:pPr>
          <w:r>
            <w:rPr>
              <w:rFonts w:eastAsia="Arial Narrow" w:cs="Arial Narrow" w:ascii="Arial Narrow" w:hAnsi="Arial Narrow"/>
              <w:b/>
              <w:bCs/>
            </w:rPr>
          </w:r>
        </w:p>
      </w:tc>
      <w:tc>
        <w:tcPr>
          <w:tcW w:w="594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rPr>
          </w:pPr>
          <w:r>
            <w:rPr>
              <w:rFonts w:eastAsia="Arial Narrow" w:cs="Arial Narrow" w:ascii="Arial Narrow" w:hAnsi="Arial Narrow"/>
              <w:b/>
              <w:bCs/>
            </w:rPr>
          </w:r>
        </w:p>
      </w:tc>
      <w:tc>
        <w:tcPr>
          <w:tcW w:w="9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ind w:start="-60" w:end="0"/>
            <w:rPr>
              <w:rFonts w:ascii="Arial" w:hAnsi="Arial" w:eastAsia="Arial" w:cs="Arial"/>
              <w:sz w:val="12"/>
              <w:szCs w:val="12"/>
            </w:rPr>
          </w:pPr>
          <w:r>
            <w:rPr>
              <w:rFonts w:eastAsia="Arial" w:cs="Arial" w:ascii="Arial" w:hAnsi="Arial"/>
              <w:sz w:val="12"/>
              <w:szCs w:val="12"/>
            </w:rPr>
            <w:t>Rev. No.</w:t>
          </w:r>
        </w:p>
      </w:tc>
      <w:tc>
        <w:tcPr>
          <w:tcW w:w="15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ind w:end="204"/>
            <w:jc w:val="end"/>
            <w:rPr/>
          </w:pPr>
          <w:r>
            <w:rPr/>
            <w:t>5</w:t>
          </w:r>
        </w:p>
      </w:tc>
    </w:tr>
    <w:tr>
      <w:trPr>
        <w:trHeight w:val="200" w:hRule="atLeast"/>
      </w:trPr>
      <w:tc>
        <w:tcPr>
          <w:tcW w:w="2100" w:type="dxa"/>
          <w:tcBorders>
            <w:top w:val="dashed" w:sz="6" w:space="0" w:color="auto"/>
            <w:start w:val="dashed" w:sz="6" w:space="0" w:color="auto"/>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rPr>
          </w:pPr>
          <w:r>
            <w:rPr>
              <w:rFonts w:eastAsia="Arial Narrow" w:cs="Arial Narrow" w:ascii="Arial Narrow" w:hAnsi="Arial Narrow"/>
              <w:b/>
              <w:bCs/>
            </w:rPr>
          </w:r>
        </w:p>
      </w:tc>
      <w:tc>
        <w:tcPr>
          <w:tcW w:w="5940" w:type="dxa"/>
          <w:tcBorders>
            <w:top w:val="dashed" w:sz="6" w:space="0" w:color="auto"/>
            <w:start w:val="dashed" w:sz="6" w:space="0" w:color="auto"/>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rPr>
          </w:pPr>
          <w:r>
            <w:rPr>
              <w:rFonts w:eastAsia="Arial Narrow" w:cs="Arial Narrow" w:ascii="Arial Narrow" w:hAnsi="Arial Narrow"/>
              <w:b/>
              <w:bCs/>
            </w:rPr>
          </w:r>
        </w:p>
      </w:tc>
      <w:tc>
        <w:tcPr>
          <w:tcW w:w="900" w:type="dxa"/>
          <w:tcBorders>
            <w:top w:val="dashed" w:sz="6" w:space="0" w:color="auto"/>
            <w:start w:val="dashed" w:sz="6" w:space="0" w:color="auto"/>
            <w:bottom w:val="single" w:sz="12" w:space="0" w:color="000000"/>
            <w:end w:val="dashed" w:sz="6" w:space="0" w:color="auto"/>
          </w:tcBorders>
        </w:tcPr>
        <w:p>
          <w:pPr>
            <w:pStyle w:val="Header"/>
            <w:tabs>
              <w:tab w:val="clear" w:pos="4320"/>
              <w:tab w:val="clear" w:pos="8640"/>
              <w:tab w:val="center" w:pos="4920" w:leader="none"/>
              <w:tab w:val="right" w:pos="10080" w:leader="none"/>
            </w:tabs>
            <w:ind w:start="-60" w:end="0"/>
            <w:rPr>
              <w:rFonts w:ascii="Arial" w:hAnsi="Arial" w:eastAsia="Arial" w:cs="Arial"/>
              <w:sz w:val="12"/>
              <w:szCs w:val="12"/>
            </w:rPr>
          </w:pPr>
          <w:r>
            <w:rPr>
              <w:rFonts w:eastAsia="Arial" w:cs="Arial" w:ascii="Arial" w:hAnsi="Arial"/>
              <w:sz w:val="12"/>
              <w:szCs w:val="12"/>
            </w:rPr>
            <w:t>Date</w:t>
          </w:r>
        </w:p>
      </w:tc>
      <w:tc>
        <w:tcPr>
          <w:tcW w:w="1500" w:type="dxa"/>
          <w:tcBorders>
            <w:top w:val="dashed" w:sz="6" w:space="0" w:color="auto"/>
            <w:start w:val="dashed" w:sz="6" w:space="0" w:color="auto"/>
            <w:bottom w:val="single" w:sz="12" w:space="0" w:color="000000"/>
            <w:end w:val="dashed" w:sz="6" w:space="0" w:color="auto"/>
          </w:tcBorders>
        </w:tcPr>
        <w:p>
          <w:pPr>
            <w:pStyle w:val="Header"/>
            <w:tabs>
              <w:tab w:val="clear" w:pos="4320"/>
              <w:tab w:val="clear" w:pos="8640"/>
              <w:tab w:val="center" w:pos="4920" w:leader="none"/>
              <w:tab w:val="right" w:pos="10080" w:leader="none"/>
            </w:tabs>
            <w:ind w:end="204"/>
            <w:jc w:val="end"/>
            <w:rPr/>
          </w:pPr>
          <w:r>
            <w:rPr/>
            <w:t>07/95</w:t>
          </w:r>
        </w:p>
      </w:tc>
    </w:tr>
  </w:tbl>
  <w:p>
    <w:pPr>
      <w:pStyle w:val="Header"/>
      <w:tabs>
        <w:tab w:val="clear" w:pos="4320"/>
        <w:tab w:val="clear" w:pos="8640"/>
        <w:tab w:val="center" w:pos="4920" w:leader="none"/>
        <w:tab w:val="right" w:pos="10080" w:leader="none"/>
      </w:tabs>
      <w:jc w:val="cent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 Id="rId3" Type="http://schemas.openxmlformats.org/officeDocument/2006/relationships/image" Target="media/image3.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2001-08-13T12:17:00Z</dcterms:created>
  <dc:creator>rock-t</dc:creator>
  <dc:description/>
  <dc:language>en-CA</dc:language>
  <cp:lastModifiedBy>rmatthe</cp:lastModifiedBy>
  <cp:lastPrinted>1995-10-02T11:29:00Z</cp:lastPrinted>
  <dcterms:modified xsi:type="dcterms:W3CDTF">2001-08-13T12:17:00Z</dcterms:modified>
  <cp:revision>2</cp:revision>
  <dc:subject/>
  <dc:title>1._SCOPE</dc:title>
</cp:coreProperties>
</file>