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Overview of Bob Henderson’s Employment Agreement</w:t>
      </w:r>
    </w:p>
    <w:p>
      <w:pPr>
        <w:pStyle w:val="Normal"/>
        <w:jc w:val="center"/>
        <w:rPr>
          <w:b/>
          <w:bCs/>
          <w:u w:val="single"/>
        </w:rPr>
      </w:pPr>
      <w:r>
        <w:rPr>
          <w:b/>
          <w:bCs/>
          <w:u w:val="single"/>
        </w:rPr>
      </w:r>
    </w:p>
    <w:p>
      <w:pPr>
        <w:pStyle w:val="Normal"/>
        <w:jc w:val="center"/>
        <w:rPr>
          <w:b/>
          <w:bCs/>
          <w:u w:val="single"/>
        </w:rPr>
      </w:pPr>
      <w:r>
        <w:rPr>
          <w:b/>
          <w:bCs/>
          <w:u w:val="single"/>
        </w:rPr>
      </w:r>
    </w:p>
    <w:p>
      <w:pPr>
        <w:pStyle w:val="BodyText"/>
        <w:rPr/>
      </w:pPr>
      <w:r>
        <w:rPr>
          <w:u w:val="single"/>
        </w:rPr>
        <w:t>Term</w:t>
      </w:r>
      <w:r>
        <w:rPr/>
        <w:t>:</w:t>
        <w:tab/>
        <w:t>Through September 30, 2002 (note automatic renewal Section 3.1)</w:t>
      </w:r>
    </w:p>
    <w:p>
      <w:pPr>
        <w:pStyle w:val="Normal"/>
        <w:jc w:val="both"/>
        <w:rPr/>
      </w:pPr>
      <w:r>
        <w:rPr/>
      </w:r>
    </w:p>
    <w:p>
      <w:pPr>
        <w:pStyle w:val="Normal"/>
        <w:jc w:val="both"/>
        <w:rPr/>
      </w:pPr>
      <w:r>
        <w:rPr>
          <w:u w:val="single"/>
        </w:rPr>
        <w:t>Title</w:t>
      </w:r>
      <w:r>
        <w:rPr/>
        <w:t>:</w:t>
        <w:tab/>
        <w:t>President, Chief Executive Officer, and Chairman of the Board</w:t>
      </w:r>
    </w:p>
    <w:p>
      <w:pPr>
        <w:pStyle w:val="Normal"/>
        <w:jc w:val="both"/>
        <w:rPr/>
      </w:pPr>
      <w:r>
        <w:rPr/>
      </w:r>
    </w:p>
    <w:p>
      <w:pPr>
        <w:pStyle w:val="Normal"/>
        <w:jc w:val="both"/>
        <w:rPr/>
      </w:pPr>
      <w:r>
        <w:rPr>
          <w:u w:val="single"/>
        </w:rPr>
        <w:t>Payment/Benefits Upon Involuntary Termination Without Causes</w:t>
      </w:r>
      <w:r>
        <w:rPr/>
        <w:t>:  (as described in Section 3.6)</w:t>
      </w:r>
    </w:p>
    <w:p>
      <w:pPr>
        <w:pStyle w:val="Normal"/>
        <w:jc w:val="both"/>
        <w:rPr/>
      </w:pPr>
      <w:r>
        <w:rPr/>
        <w:t>*Payment to be made on last date of employment.</w:t>
      </w:r>
    </w:p>
    <w:p>
      <w:pPr>
        <w:pStyle w:val="Normal"/>
        <w:jc w:val="both"/>
        <w:rPr/>
      </w:pPr>
      <w:r>
        <w:rPr/>
      </w:r>
    </w:p>
    <w:p>
      <w:pPr>
        <w:pStyle w:val="Normal"/>
        <w:numPr>
          <w:ilvl w:val="0"/>
          <w:numId w:val="1"/>
        </w:numPr>
        <w:tabs>
          <w:tab w:val="clear" w:pos="720"/>
        </w:tabs>
        <w:ind w:hanging="720" w:start="1080" w:end="0"/>
        <w:jc w:val="both"/>
        <w:rPr/>
      </w:pPr>
      <w:r>
        <w:rPr/>
        <w:t>*Salary through end of Term or Extended Term (Section 3.2.1)</w:t>
      </w:r>
    </w:p>
    <w:p>
      <w:pPr>
        <w:pStyle w:val="Normal"/>
        <w:ind w:hanging="360" w:start="1080" w:end="0"/>
        <w:jc w:val="both"/>
        <w:rPr/>
      </w:pPr>
      <w:r>
        <w:rPr/>
        <w:t>Currently, he makes $25,417 per month</w:t>
      </w:r>
    </w:p>
    <w:p>
      <w:pPr>
        <w:pStyle w:val="Normal"/>
        <w:ind w:hanging="720" w:start="1080" w:end="0"/>
        <w:jc w:val="both"/>
        <w:rPr/>
      </w:pPr>
      <w:r>
        <w:rPr/>
      </w:r>
    </w:p>
    <w:p>
      <w:pPr>
        <w:pStyle w:val="Normal"/>
        <w:numPr>
          <w:ilvl w:val="0"/>
          <w:numId w:val="1"/>
        </w:numPr>
        <w:tabs>
          <w:tab w:val="clear" w:pos="720"/>
        </w:tabs>
        <w:ind w:hanging="720" w:start="1080" w:end="0"/>
        <w:jc w:val="both"/>
        <w:rPr/>
      </w:pPr>
      <w:r>
        <w:rPr/>
        <w:t>*12 months pay in lump-sum (Section 3.2.2)</w:t>
      </w:r>
    </w:p>
    <w:p>
      <w:pPr>
        <w:pStyle w:val="Normal"/>
        <w:ind w:hanging="720" w:start="1080" w:end="0"/>
        <w:jc w:val="both"/>
        <w:rPr/>
      </w:pPr>
      <w:r>
        <w:rPr/>
      </w:r>
    </w:p>
    <w:p>
      <w:pPr>
        <w:pStyle w:val="Normal"/>
        <w:numPr>
          <w:ilvl w:val="0"/>
          <w:numId w:val="1"/>
        </w:numPr>
        <w:tabs>
          <w:tab w:val="clear" w:pos="720"/>
        </w:tabs>
        <w:jc w:val="both"/>
        <w:rPr/>
      </w:pPr>
      <w:r>
        <w:rPr/>
        <w:t>*Vacation carryover from prior years plus earned and unused for calendar year 2001</w:t>
      </w:r>
    </w:p>
    <w:p>
      <w:pPr>
        <w:pStyle w:val="Normal"/>
        <w:ind w:firstLine="360" w:start="360" w:end="0"/>
        <w:jc w:val="both"/>
        <w:rPr/>
      </w:pPr>
      <w:r>
        <w:rPr/>
      </w:r>
    </w:p>
    <w:p>
      <w:pPr>
        <w:pStyle w:val="Normal"/>
        <w:ind w:firstLine="360" w:start="360" w:end="0"/>
        <w:jc w:val="both"/>
        <w:rPr/>
      </w:pPr>
      <w:r>
        <w:rPr/>
        <w:t>See Section 8 for vacation allowance (25 days per year)</w:t>
      </w:r>
    </w:p>
    <w:p>
      <w:pPr>
        <w:pStyle w:val="Normal"/>
        <w:ind w:hanging="360" w:start="1080" w:end="0"/>
        <w:jc w:val="both"/>
        <w:rPr/>
      </w:pPr>
      <w:r>
        <w:rPr/>
        <w:t>(Q:  If he is getting paid, should he get double payment for vacation?) (Section 3.2.3)</w:t>
      </w:r>
    </w:p>
    <w:p>
      <w:pPr>
        <w:pStyle w:val="Normal"/>
        <w:ind w:hanging="720" w:start="1080" w:end="0"/>
        <w:jc w:val="both"/>
        <w:rPr/>
      </w:pPr>
      <w:r>
        <w:rPr/>
      </w:r>
    </w:p>
    <w:p>
      <w:pPr>
        <w:pStyle w:val="Normal"/>
        <w:numPr>
          <w:ilvl w:val="0"/>
          <w:numId w:val="1"/>
        </w:numPr>
        <w:tabs>
          <w:tab w:val="clear" w:pos="720"/>
        </w:tabs>
        <w:jc w:val="both"/>
        <w:rPr/>
      </w:pPr>
      <w:r>
        <w:rPr/>
        <w:t>Leased Vehicle:  Option of assuming remaining lease payments and keeping car or assigning lease to Company (Section 3.2.4)</w:t>
      </w:r>
    </w:p>
    <w:p>
      <w:pPr>
        <w:pStyle w:val="Normal"/>
        <w:ind w:hanging="720" w:start="1080" w:end="0"/>
        <w:jc w:val="both"/>
        <w:rPr/>
      </w:pPr>
      <w:r>
        <w:rPr/>
      </w:r>
    </w:p>
    <w:p>
      <w:pPr>
        <w:pStyle w:val="Normal"/>
        <w:numPr>
          <w:ilvl w:val="0"/>
          <w:numId w:val="1"/>
        </w:numPr>
        <w:tabs>
          <w:tab w:val="clear" w:pos="720"/>
        </w:tabs>
        <w:ind w:hanging="720" w:start="1080" w:end="0"/>
        <w:jc w:val="both"/>
        <w:rPr/>
      </w:pPr>
      <w:r>
        <w:rPr/>
        <w:t>All override interests continue under Section 9 of the Agreement (Section 3.2.5)</w:t>
      </w:r>
    </w:p>
    <w:p>
      <w:pPr>
        <w:pStyle w:val="Normal"/>
        <w:ind w:hanging="720" w:start="1080" w:end="0"/>
        <w:jc w:val="both"/>
        <w:rPr/>
      </w:pPr>
      <w:r>
        <w:rPr/>
      </w:r>
    </w:p>
    <w:p>
      <w:pPr>
        <w:pStyle w:val="Normal"/>
        <w:numPr>
          <w:ilvl w:val="0"/>
          <w:numId w:val="1"/>
        </w:numPr>
        <w:tabs>
          <w:tab w:val="clear" w:pos="720"/>
        </w:tabs>
        <w:jc w:val="both"/>
        <w:rPr/>
      </w:pPr>
      <w:r>
        <w:rPr/>
        <w:t>Can either reimburse Company for Petroleum Club membership or can tender membership to Company (Section 3.2.6)</w:t>
      </w:r>
    </w:p>
    <w:p>
      <w:pPr>
        <w:pStyle w:val="Normal"/>
        <w:ind w:hanging="720" w:start="1080" w:end="0"/>
        <w:jc w:val="both"/>
        <w:rPr/>
      </w:pPr>
      <w:r>
        <w:rPr/>
      </w:r>
    </w:p>
    <w:p>
      <w:pPr>
        <w:pStyle w:val="Normal"/>
        <w:numPr>
          <w:ilvl w:val="0"/>
          <w:numId w:val="1"/>
        </w:numPr>
        <w:tabs>
          <w:tab w:val="clear" w:pos="720"/>
        </w:tabs>
        <w:jc w:val="both"/>
        <w:rPr/>
      </w:pPr>
      <w:r>
        <w:rPr/>
        <w:t>Employee to repay Company for insurance premiums under Section 10.16, if applicable (Section 3.2.7)</w:t>
      </w:r>
    </w:p>
    <w:p>
      <w:pPr>
        <w:pStyle w:val="Normal"/>
        <w:jc w:val="both"/>
        <w:rPr/>
      </w:pPr>
      <w:r>
        <w:rPr/>
      </w:r>
    </w:p>
    <w:p>
      <w:pPr>
        <w:pStyle w:val="BodyText"/>
        <w:numPr>
          <w:ilvl w:val="0"/>
          <w:numId w:val="1"/>
        </w:numPr>
        <w:rPr/>
      </w:pPr>
      <w:r>
        <w:rPr>
          <w:u w:val="single"/>
        </w:rPr>
        <w:t>Note</w:t>
      </w:r>
      <w:r>
        <w:rPr/>
        <w:t>:  Section 3.1 provides for termination at the end of the Term with 6 months’ notice - - does that work here?</w:t>
      </w:r>
    </w:p>
    <w:p>
      <w:pPr>
        <w:pStyle w:val="BodyText"/>
        <w:rPr/>
      </w:pPr>
      <w:r>
        <w:rPr/>
      </w:r>
    </w:p>
    <w:p>
      <w:pPr>
        <w:pStyle w:val="BodyText"/>
        <w:rPr/>
      </w:pPr>
      <w:r>
        <w:rPr>
          <w:u w:val="single"/>
        </w:rPr>
        <w:t>Confidentiality Obligations</w:t>
      </w:r>
      <w:r>
        <w:rPr/>
        <w:t xml:space="preserve">: </w:t>
      </w:r>
    </w:p>
    <w:p>
      <w:pPr>
        <w:pStyle w:val="BodyText"/>
        <w:rPr/>
      </w:pPr>
      <w:r>
        <w:rPr/>
      </w:r>
    </w:p>
    <w:p>
      <w:pPr>
        <w:pStyle w:val="BodyText"/>
        <w:rPr/>
      </w:pPr>
      <w:r>
        <w:rPr/>
        <w:t>Four (4) years from date of Termination (Section 4.1).</w:t>
      </w:r>
    </w:p>
    <w:p>
      <w:pPr>
        <w:pStyle w:val="BodyText"/>
        <w:rPr/>
      </w:pPr>
      <w:r>
        <w:rPr/>
      </w:r>
    </w:p>
    <w:p>
      <w:pPr>
        <w:pStyle w:val="BodyText"/>
        <w:numPr>
          <w:ilvl w:val="0"/>
          <w:numId w:val="2"/>
        </w:numPr>
        <w:tabs>
          <w:tab w:val="left" w:pos="720" w:leader="none"/>
        </w:tabs>
        <w:ind w:hanging="360" w:start="720" w:end="720"/>
        <w:rPr>
          <w:b/>
          <w:bCs/>
        </w:rPr>
      </w:pPr>
      <w:r>
        <w:rPr>
          <w:b/>
          <w:bCs/>
        </w:rPr>
        <w:t>Upon termination, Employee must promptly deliver to Company all written documentation and information (regardless of whether it is confidential), and all copies that are in his possession or control (Section 4.2)</w:t>
      </w:r>
    </w:p>
    <w:p>
      <w:pPr>
        <w:pStyle w:val="BodyText"/>
        <w:ind w:end="720"/>
        <w:rPr>
          <w:b/>
          <w:bCs/>
        </w:rPr>
      </w:pPr>
      <w:r>
        <w:rPr>
          <w:b/>
          <w:bCs/>
        </w:rPr>
      </w:r>
    </w:p>
    <w:p>
      <w:pPr>
        <w:pStyle w:val="BodyText"/>
        <w:ind w:end="720"/>
        <w:rPr/>
      </w:pPr>
      <w:r>
        <w:rPr>
          <w:u w:val="single"/>
        </w:rPr>
        <w:t>Insurance Policy</w:t>
      </w:r>
      <w:r>
        <w:rPr/>
        <w:t>:  Section 10 addresses a split Dollar Agreement for a policy with Philadelphia Life.</w:t>
      </w:r>
    </w:p>
    <w:p>
      <w:pPr>
        <w:pStyle w:val="BodyText"/>
        <w:ind w:end="720"/>
        <w:rPr/>
      </w:pPr>
      <w:r>
        <w:rPr/>
      </w:r>
    </w:p>
    <w:p>
      <w:pPr>
        <w:pStyle w:val="BodyText"/>
        <w:numPr>
          <w:ilvl w:val="0"/>
          <w:numId w:val="2"/>
        </w:numPr>
        <w:tabs>
          <w:tab w:val="left" w:pos="720" w:leader="none"/>
        </w:tabs>
        <w:ind w:hanging="360" w:start="720" w:end="0"/>
        <w:rPr/>
      </w:pPr>
      <w:r>
        <w:rPr/>
        <w:t>Company is entitled to repayment by Employee of some contribution to premiums made by Mariner within 30 days after termination of employment (Section 10.16).</w:t>
      </w:r>
    </w:p>
    <w:p>
      <w:pPr>
        <w:pStyle w:val="BodyText"/>
        <w:ind w:end="720"/>
        <w:rPr/>
      </w:pPr>
      <w:r>
        <w:rPr/>
      </w:r>
    </w:p>
    <w:p>
      <w:pPr>
        <w:pStyle w:val="BodyText"/>
        <w:numPr>
          <w:ilvl w:val="0"/>
          <w:numId w:val="2"/>
        </w:numPr>
        <w:tabs>
          <w:tab w:val="left" w:pos="720" w:leader="none"/>
        </w:tabs>
        <w:ind w:hanging="360" w:start="720" w:end="0"/>
        <w:rPr/>
      </w:pPr>
      <w:r>
        <w:rPr>
          <w:u w:val="single"/>
        </w:rPr>
        <w:t>Note</w:t>
      </w:r>
      <w:r>
        <w:rPr/>
        <w:t>:  Those premium payments are partially forgiven, under Section 10.14 - - need more details.</w:t>
      </w:r>
    </w:p>
    <w:p>
      <w:pPr>
        <w:pStyle w:val="BodyText"/>
        <w:rPr/>
      </w:pPr>
      <w:r>
        <w:rPr/>
      </w:r>
    </w:p>
    <w:p>
      <w:pPr>
        <w:pStyle w:val="BodyText"/>
        <w:rPr>
          <w:u w:val="single"/>
        </w:rPr>
      </w:pPr>
      <w:r>
        <w:rPr>
          <w:u w:val="single"/>
        </w:rPr>
      </w:r>
    </w:p>
    <w:p>
      <w:pPr>
        <w:pStyle w:val="BodyText"/>
        <w:rPr>
          <w:u w:val="single"/>
        </w:rPr>
      </w:pPr>
      <w:r>
        <w:rPr>
          <w:u w:val="single"/>
        </w:rPr>
      </w:r>
    </w:p>
    <w:p>
      <w:pPr>
        <w:pStyle w:val="BodyText"/>
        <w:rPr/>
      </w:pPr>
      <w:r>
        <w:rPr>
          <w:u w:val="single"/>
        </w:rPr>
        <w:t>Successor Clause</w:t>
      </w:r>
      <w:r>
        <w:rPr/>
        <w:t>:  Upon merger or acquisition, the Employment Agreement is binding on successor, and it must be disclosed to potential purchaser or merger prospect. (Section 14).</w:t>
      </w:r>
    </w:p>
    <w:p>
      <w:pPr>
        <w:pStyle w:val="BodyText"/>
        <w:rPr/>
      </w:pPr>
      <w:r>
        <w:rPr/>
      </w:r>
    </w:p>
    <w:p>
      <w:pPr>
        <w:pStyle w:val="BodyText"/>
        <w:rPr/>
      </w:pPr>
      <w:r>
        <w:rPr>
          <w:u w:val="single"/>
        </w:rPr>
        <w:t>Arbitration</w:t>
      </w:r>
      <w:r>
        <w:rPr/>
        <w:t>:  Disputes under the Agreement shall be arbitrated (Section 15.1), with Mariner paying all costs and fees, including Employee’s costs and attorneys fees (unless the arbitrator finds the employee’s claim is prosecuted in bad faith as described in Section 15.2).</w:t>
      </w:r>
    </w:p>
    <w:p>
      <w:pPr>
        <w:pStyle w:val="BodyText"/>
        <w:rPr/>
      </w:pPr>
      <w:r>
        <w:rPr/>
      </w:r>
    </w:p>
    <w:p>
      <w:pPr>
        <w:pStyle w:val="BodyText"/>
        <w:numPr>
          <w:ilvl w:val="0"/>
          <w:numId w:val="3"/>
        </w:numPr>
        <w:rPr/>
      </w:pPr>
      <w:r>
        <w:rPr>
          <w:u w:val="single"/>
        </w:rPr>
        <w:t>Note</w:t>
      </w:r>
      <w:r>
        <w:rPr/>
        <w:t>:  Section 15.1.1 limits the recovery of treble, exemplary, or punitive damages in any such arbitration, although a party may seek injunctive relief under Section 15.1.2</w:t>
      </w:r>
    </w:p>
    <w:p>
      <w:pPr>
        <w:pStyle w:val="BodyText"/>
        <w:rPr/>
      </w:pPr>
      <w:r>
        <w:rPr/>
      </w:r>
    </w:p>
    <w:p>
      <w:pPr>
        <w:pStyle w:val="BodyText"/>
        <w:rPr/>
      </w:pPr>
      <w:r>
        <w:rPr>
          <w:u w:val="single"/>
        </w:rPr>
        <w:t>Non-Compete</w:t>
      </w:r>
      <w:r>
        <w:rPr/>
        <w:t>:  Only applies if Termination for Cause or Employee’s voluntary termination.  (Section 16.1)</w:t>
      </w:r>
    </w:p>
    <w:p>
      <w:pPr>
        <w:pStyle w:val="BodyText"/>
        <w:rPr/>
      </w:pPr>
      <w:r>
        <w:rPr/>
      </w:r>
    </w:p>
    <w:p>
      <w:pPr>
        <w:pStyle w:val="BodyText"/>
        <w:rPr/>
      </w:pPr>
      <w:r>
        <w:rPr>
          <w:u w:val="single"/>
        </w:rPr>
        <w:t>Gross Up</w:t>
      </w:r>
      <w:r>
        <w:rPr/>
        <w:t>:  If any payment to Employee is subject to Excise Tax, he is entitled to gross-up, paid by Mariner. (Section 19).</w:t>
      </w:r>
    </w:p>
    <w:p>
      <w:pPr>
        <w:pStyle w:val="Normal"/>
        <w:ind w:start="360" w:end="0"/>
        <w:jc w:val="both"/>
        <w:rPr/>
      </w:pPr>
      <w:r>
        <w:rPr/>
      </w:r>
    </w:p>
    <w:p>
      <w:pPr>
        <w:pStyle w:val="Normal"/>
        <w:ind w:start="360" w:end="0"/>
        <w:jc w:val="both"/>
        <w:rPr/>
      </w:pPr>
      <w:r>
        <w:rPr/>
      </w:r>
    </w:p>
    <w:sectPr>
      <w:footerReference w:type="default" r:id="rId2"/>
      <w:type w:val="nextPage"/>
      <w:pgSz w:w="12240" w:h="15840"/>
      <w:pgMar w:left="1296" w:right="1296" w:gutter="0" w:header="0" w:top="1008"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5287mhc.doc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2001-07-30T17:40:00Z</dcterms:created>
  <dc:creator>tsweet</dc:creator>
  <dc:description/>
  <dc:language>en-CA</dc:language>
  <cp:lastModifiedBy>tsweet</cp:lastModifiedBy>
  <cp:lastPrinted>2001-07-30T16:33:00Z</cp:lastPrinted>
  <dcterms:modified xsi:type="dcterms:W3CDTF">2001-07-30T19:03:00Z</dcterms:modified>
  <cp:revision>10</cp:revision>
  <dc:subject/>
  <dc:title>Overview of Bob Henderson’s Employment Agreement</dc:title>
</cp:coreProperties>
</file>