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Heading"/>
        <w:rPr/>
      </w:pPr>
      <w:r>
        <w:rPr/>
      </w:r>
    </w:p>
    <w:tbl>
      <w:tblPr>
        <w:tblW w:w="14488" w:type="dxa"/>
        <w:jc w:val="start"/>
        <w:tblInd w:w="200" w:type="dxa"/>
        <w:tblLayout w:type="fixed"/>
        <w:tblCellMar>
          <w:top w:w="0" w:type="dxa"/>
          <w:start w:w="115" w:type="dxa"/>
          <w:bottom w:w="0" w:type="dxa"/>
          <w:end w:w="115" w:type="dxa"/>
        </w:tblCellMar>
      </w:tblPr>
      <w:tblGrid>
        <w:gridCol w:w="708"/>
        <w:gridCol w:w="6045"/>
        <w:gridCol w:w="2155"/>
        <w:gridCol w:w="5580"/>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Mark E. Haedicke</w:t>
            </w:r>
          </w:p>
        </w:tc>
        <w:tc>
          <w:tcPr>
            <w:tcW w:w="2155" w:type="dxa"/>
            <w:tcBorders/>
          </w:tcPr>
          <w:p>
            <w:pPr>
              <w:pStyle w:val="Normal"/>
              <w:snapToGrid w:val="false"/>
              <w:ind w:start="-180" w:end="0"/>
              <w:rPr/>
            </w:pPr>
            <w:r>
              <w:rPr/>
            </w:r>
          </w:p>
        </w:tc>
        <w:tc>
          <w:tcPr>
            <w:tcW w:w="5580" w:type="dxa"/>
            <w:tcBorders/>
          </w:tcPr>
          <w:p>
            <w:pPr>
              <w:pStyle w:val="Subject"/>
              <w:tabs>
                <w:tab w:val="left" w:pos="540" w:leader="none"/>
              </w:tabs>
              <w:ind w:firstLine="198" w:start="-198" w:end="0"/>
              <w:rPr/>
            </w:pPr>
            <w:r>
              <w:rPr/>
              <w:t>PRIVILEGED &amp; CONFIDENTIAL</w:t>
            </w:r>
          </w:p>
        </w:tc>
      </w:tr>
      <w:tr>
        <w:trPr>
          <w:trHeight w:val="108"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2155" w:type="dxa"/>
            <w:tcBorders/>
          </w:tcPr>
          <w:p>
            <w:pPr>
              <w:pStyle w:val="Normal"/>
              <w:snapToGrid w:val="false"/>
              <w:ind w:start="-180" w:end="0"/>
              <w:rPr>
                <w:sz w:val="18"/>
              </w:rPr>
            </w:pPr>
            <w:r>
              <w:rPr>
                <w:sz w:val="18"/>
              </w:rPr>
            </w:r>
          </w:p>
        </w:tc>
        <w:tc>
          <w:tcPr>
            <w:tcW w:w="5580"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Ned Crady</w:t>
            </w:r>
          </w:p>
        </w:tc>
        <w:tc>
          <w:tcPr>
            <w:tcW w:w="2155" w:type="dxa"/>
            <w:tcBorders/>
          </w:tcPr>
          <w:p>
            <w:pPr>
              <w:pStyle w:val="Normal"/>
              <w:ind w:hanging="2227" w:start="2047" w:end="-1022"/>
              <w:jc w:val="center"/>
              <w:rPr>
                <w:sz w:val="16"/>
              </w:rPr>
            </w:pPr>
            <w:r>
              <w:rPr>
                <w:sz w:val="16"/>
              </w:rPr>
              <w:t>Department:</w:t>
            </w:r>
          </w:p>
        </w:tc>
        <w:tc>
          <w:tcPr>
            <w:tcW w:w="5580" w:type="dxa"/>
            <w:tcBorders/>
          </w:tcPr>
          <w:p>
            <w:pPr>
              <w:pStyle w:val="Department"/>
              <w:rPr/>
            </w:pPr>
            <w:bookmarkStart w:id="0" w:name="From"/>
            <w:bookmarkEnd w:id="0"/>
            <w:r>
              <w:rPr/>
              <w:t>EWS Legal Department</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2155" w:type="dxa"/>
            <w:tcBorders/>
          </w:tcPr>
          <w:p>
            <w:pPr>
              <w:pStyle w:val="Normal"/>
              <w:snapToGrid w:val="false"/>
              <w:ind w:start="-180" w:end="0"/>
              <w:rPr>
                <w:sz w:val="18"/>
              </w:rPr>
            </w:pPr>
            <w:r>
              <w:rPr>
                <w:sz w:val="18"/>
              </w:rPr>
            </w:r>
          </w:p>
        </w:tc>
        <w:tc>
          <w:tcPr>
            <w:tcW w:w="5580" w:type="dxa"/>
            <w:tcBorders/>
          </w:tcPr>
          <w:p>
            <w:pPr>
              <w:pStyle w:val="Normal"/>
              <w:snapToGrid w:val="false"/>
              <w:rPr>
                <w:sz w:val="18"/>
              </w:rPr>
            </w:pPr>
            <w:r>
              <w:rPr>
                <w:sz w:val="18"/>
              </w:rPr>
            </w:r>
          </w:p>
        </w:tc>
      </w:tr>
      <w:tr>
        <w:trPr>
          <w:trHeight w:val="657" w:hRule="exact"/>
        </w:trPr>
        <w:tc>
          <w:tcPr>
            <w:tcW w:w="708" w:type="dxa"/>
            <w:tcBorders/>
          </w:tcPr>
          <w:p>
            <w:pPr>
              <w:pStyle w:val="Normal"/>
              <w:ind w:start="-180" w:end="0"/>
              <w:jc w:val="end"/>
              <w:rPr>
                <w:sz w:val="16"/>
              </w:rPr>
            </w:pPr>
            <w:r>
              <w:rPr>
                <w:sz w:val="16"/>
              </w:rPr>
              <w:t>Subject:</w:t>
            </w:r>
          </w:p>
        </w:tc>
        <w:tc>
          <w:tcPr>
            <w:tcW w:w="6045" w:type="dxa"/>
            <w:tcBorders/>
          </w:tcPr>
          <w:p>
            <w:pPr>
              <w:pStyle w:val="Subject"/>
              <w:rPr/>
            </w:pPr>
            <w:r>
              <w:rPr/>
              <w:t xml:space="preserve">Potential Legal Risks Associated with the Business License between Hawksbill Creek LNG, Ltd. and the Grand Bahama Port Authority </w:t>
            </w:r>
          </w:p>
          <w:p>
            <w:pPr>
              <w:pStyle w:val="Subject"/>
              <w:rPr/>
            </w:pPr>
            <w:r>
              <w:rPr/>
              <w:t>Agreement and Storage Capacity Purchase Agreement between</w:t>
            </w:r>
          </w:p>
          <w:p>
            <w:pPr>
              <w:pStyle w:val="Subject"/>
              <w:rPr/>
            </w:pPr>
            <w:r>
              <w:rPr/>
              <w:t>EOTT ENERGY LIQUIDS, L.P. and ENRON GAS LIQUIDS, INC.</w:t>
            </w:r>
          </w:p>
          <w:p>
            <w:pPr>
              <w:pStyle w:val="Subject"/>
              <w:rPr>
                <w:rFonts w:eastAsia="Arial"/>
              </w:rPr>
            </w:pPr>
            <w:r>
              <w:rPr>
                <w:rFonts w:eastAsia="Arial"/>
              </w:rPr>
              <w:t xml:space="preserve"> </w:t>
            </w:r>
          </w:p>
        </w:tc>
        <w:tc>
          <w:tcPr>
            <w:tcW w:w="2155" w:type="dxa"/>
            <w:tcBorders/>
          </w:tcPr>
          <w:p>
            <w:pPr>
              <w:pStyle w:val="Normal"/>
              <w:ind w:start="-180" w:end="0"/>
              <w:jc w:val="end"/>
              <w:rPr>
                <w:sz w:val="16"/>
              </w:rPr>
            </w:pPr>
            <w:r>
              <w:rPr>
                <w:sz w:val="16"/>
              </w:rPr>
              <w:t>Date:</w:t>
            </w:r>
          </w:p>
        </w:tc>
        <w:tc>
          <w:tcPr>
            <w:tcW w:w="5580" w:type="dxa"/>
            <w:tcBorders/>
          </w:tcPr>
          <w:p>
            <w:pPr>
              <w:pStyle w:val="Date"/>
              <w:rPr/>
            </w:pPr>
            <w:r>
              <w:rPr/>
              <w:t>October 16, 2001</w:t>
            </w:r>
          </w:p>
        </w:tc>
      </w:tr>
      <w:tr>
        <w:trPr>
          <w:trHeight w:val="600" w:hRule="exact"/>
        </w:trPr>
        <w:tc>
          <w:tcPr>
            <w:tcW w:w="708" w:type="dxa"/>
            <w:tcBorders>
              <w:bottom w:val="single" w:sz="12" w:space="0" w:color="000000"/>
            </w:tcBorders>
          </w:tcPr>
          <w:p>
            <w:pPr>
              <w:pStyle w:val="Normal"/>
              <w:ind w:start="-180" w:end="0"/>
              <w:jc w:val="end"/>
              <w:rPr>
                <w:rFonts w:eastAsia="Arial"/>
                <w:sz w:val="16"/>
              </w:rPr>
            </w:pPr>
            <w:r>
              <w:rPr>
                <w:rFonts w:eastAsia="Arial"/>
                <w:sz w:val="16"/>
              </w:rPr>
              <w:t xml:space="preserve">   </w:t>
            </w:r>
          </w:p>
        </w:tc>
        <w:tc>
          <w:tcPr>
            <w:tcW w:w="6045" w:type="dxa"/>
            <w:tcBorders>
              <w:bottom w:val="single" w:sz="12" w:space="0" w:color="000000"/>
            </w:tcBorders>
          </w:tcPr>
          <w:p>
            <w:pPr>
              <w:pStyle w:val="Subject"/>
              <w:snapToGrid w:val="false"/>
              <w:rPr>
                <w:sz w:val="16"/>
              </w:rPr>
            </w:pPr>
            <w:r>
              <w:rPr>
                <w:sz w:val="16"/>
              </w:rPr>
            </w:r>
          </w:p>
        </w:tc>
        <w:tc>
          <w:tcPr>
            <w:tcW w:w="2155" w:type="dxa"/>
            <w:tcBorders>
              <w:bottom w:val="single" w:sz="12" w:space="0" w:color="000000"/>
            </w:tcBorders>
          </w:tcPr>
          <w:p>
            <w:pPr>
              <w:pStyle w:val="Normal"/>
              <w:snapToGrid w:val="false"/>
              <w:ind w:start="-180" w:end="0"/>
              <w:jc w:val="end"/>
              <w:rPr>
                <w:sz w:val="16"/>
              </w:rPr>
            </w:pPr>
            <w:r>
              <w:rPr>
                <w:sz w:val="16"/>
              </w:rPr>
            </w:r>
          </w:p>
        </w:tc>
        <w:tc>
          <w:tcPr>
            <w:tcW w:w="5580" w:type="dxa"/>
            <w:tcBorders>
              <w:bottom w:val="single" w:sz="12" w:space="0" w:color="000000"/>
            </w:tcBorders>
          </w:tcPr>
          <w:p>
            <w:pPr>
              <w:pStyle w:val="Date"/>
              <w:snapToGrid w:val="false"/>
              <w:rPr>
                <w:sz w:val="16"/>
              </w:rPr>
            </w:pPr>
            <w:r>
              <w:rPr>
                <w:sz w:val="16"/>
              </w:rPr>
            </w:r>
          </w:p>
        </w:tc>
      </w:tr>
    </w:tbl>
    <w:p>
      <w:pPr>
        <w:pStyle w:val="Body"/>
        <w:ind w:hanging="162" w:end="0"/>
        <w:jc w:val="both"/>
        <w:rPr/>
      </w:pPr>
      <w:bookmarkStart w:id="1" w:name="StartOfMemo"/>
      <w:bookmarkEnd w:id="1"/>
      <w:r>
        <w:rPr/>
        <w:tab/>
      </w:r>
    </w:p>
    <w:p>
      <w:pPr>
        <w:pStyle w:val="Body"/>
        <w:ind w:hanging="162" w:end="0"/>
        <w:jc w:val="both"/>
        <w:rPr>
          <w:u w:val="single"/>
        </w:rPr>
      </w:pPr>
      <w:r>
        <w:rPr>
          <w:u w:val="single"/>
        </w:rPr>
        <w:t>Background</w:t>
      </w:r>
    </w:p>
    <w:p>
      <w:pPr>
        <w:pStyle w:val="Body"/>
        <w:ind w:hanging="162" w:end="0"/>
        <w:jc w:val="both"/>
        <w:rPr>
          <w:u w:val="single"/>
        </w:rPr>
      </w:pPr>
      <w:r>
        <w:rPr>
          <w:u w:val="single"/>
        </w:rPr>
      </w:r>
    </w:p>
    <w:p>
      <w:pPr>
        <w:pStyle w:val="Body"/>
        <w:ind w:firstLine="648" w:end="0"/>
        <w:jc w:val="both"/>
        <w:rPr/>
      </w:pPr>
      <w:r>
        <w:rPr/>
        <w:t>As part of a transaction involving the development of an LNG regasification terminal and associated 90-mile natural gas export pipeline (the “Project”), Hawksbill Creek LNG, Ltd. (“Hawksbill”) must enter into a business license with the Grand Bahama Port Authority (the “GBPA”) in order to do business in Grand Bahama. The GBPA owns a Concession from the Government of the Bahamas for Freeport, Grand Bahama and is the regulator of all commercial activity on the island of Grand Bahama as well as the sole taxing authority. The Government of the Bahamas and the GBPA will regulate other areas of the Project such as safety and environmental as it involves an offshore pipeline that is outside of the Concession territory.</w:t>
      </w:r>
    </w:p>
    <w:p>
      <w:pPr>
        <w:pStyle w:val="Body"/>
        <w:ind w:firstLine="648" w:end="0"/>
        <w:jc w:val="both"/>
        <w:rPr/>
      </w:pPr>
      <w:r>
        <w:rPr/>
      </w:r>
    </w:p>
    <w:p>
      <w:pPr>
        <w:pStyle w:val="Body"/>
        <w:ind w:firstLine="648" w:end="0"/>
        <w:jc w:val="both"/>
        <w:rPr/>
      </w:pPr>
      <w:r>
        <w:rPr/>
        <w:t>The GBPA proposes to charge an annual license fee of $3MM on Hawksbill for the privilege to conduct business in Freeport, Grand Bahama. The term of the License is through the year 2054 (when the GBPA’s concession expires) but is terminable by Hawksbill on the surrender of the License to the GBPA. The Capex of the Project is approximately $250MM in the Bahamas and approximately $250MM for the sub sea pipeline to Port Everglades, Florida. The Project revenue agreements will ultimately consist of a tolling agreement, a transportation service agreement and LNG purchase agreements and natural gas sale agreements involving several Enron entities, including Hawksbill and Florida Gas &amp; Transmission. Other Project agreements will include an EPC agreement, Financing agreements, partner agreements, and ultimately a sale agreement for Hawksbill’s equity in the Project. Enron LNG Marketing, LLC intends to maintain the natural gas tolling, transportation and commodity sale rights indefinitely to maximize its gas marketing position in Southeast Florida.  The Project will allow Enron LNG Marketing, LLC or an ENA entity to sell approximately 832MMBTU of natural gas per day in Florida.</w:t>
      </w:r>
    </w:p>
    <w:p>
      <w:pPr>
        <w:pStyle w:val="Body"/>
        <w:ind w:hanging="162" w:end="0"/>
        <w:jc w:val="both"/>
        <w:rPr>
          <w:rFonts w:eastAsia="Arial"/>
        </w:rPr>
      </w:pPr>
      <w:r>
        <w:rPr>
          <w:rFonts w:eastAsia="Arial"/>
        </w:rPr>
        <w:t xml:space="preserve"> </w:t>
      </w:r>
    </w:p>
    <w:p>
      <w:pPr>
        <w:pStyle w:val="Body"/>
        <w:ind w:hanging="162" w:end="0"/>
        <w:jc w:val="both"/>
        <w:rPr/>
      </w:pPr>
      <w:r>
        <w:rPr/>
        <w:tab/>
        <w:tab/>
        <w:t xml:space="preserve">The Project is seeking approval under a DASH for approximately $900,000 in payments in connection with the License Agreement. Future payments are required up to $3MM per year commencing December 31, 2002, but will be the subject of future DASHs.  Enron Corp. is not an obligor under the License, and Hawksbill has walk away rights before spending additional money under the License. </w:t>
      </w:r>
    </w:p>
    <w:p>
      <w:pPr>
        <w:pStyle w:val="Body"/>
        <w:ind w:hanging="162" w:end="0"/>
        <w:jc w:val="both"/>
        <w:rPr/>
      </w:pPr>
      <w:r>
        <w:rPr/>
      </w:r>
    </w:p>
    <w:p>
      <w:pPr>
        <w:pStyle w:val="Body"/>
        <w:ind w:hanging="162" w:end="0"/>
        <w:jc w:val="both"/>
        <w:rPr/>
      </w:pPr>
      <w:r>
        <w:rPr>
          <w:rFonts w:eastAsia="Arial"/>
        </w:rPr>
        <w:t xml:space="preserve">   </w:t>
      </w:r>
      <w:r>
        <w:rPr/>
        <w:tab/>
        <w:t>The attached matrix presents my analysis of the potential legal risks of Hawksbill Creek LNG, Ltd. associated with the execution of the License agreement with the GBPA.</w:t>
      </w:r>
    </w:p>
    <w:p>
      <w:pPr>
        <w:pStyle w:val="Body"/>
        <w:ind w:hanging="162" w:end="0"/>
        <w:jc w:val="both"/>
        <w:rPr/>
      </w:pPr>
      <w:r>
        <w:rPr/>
      </w:r>
    </w:p>
    <w:p>
      <w:pPr>
        <w:pStyle w:val="Body"/>
        <w:ind w:hanging="162" w:end="0"/>
        <w:jc w:val="both"/>
        <w:rPr/>
      </w:pPr>
      <w:r>
        <w:rPr>
          <w:u w:val="single"/>
        </w:rPr>
        <w:t>Overall Exposure</w:t>
      </w:r>
      <w:r>
        <w:rPr/>
        <w:t>:      Risk Rating = 2   (Scale = 1 to 5 with 1 the lowest risk and 5 the highest risk)</w:t>
      </w:r>
      <w:r>
        <w:rPr>
          <w:u w:val="single"/>
        </w:rPr>
        <w:t xml:space="preserve">  </w:t>
      </w:r>
    </w:p>
    <w:tbl>
      <w:tblPr>
        <w:tblpPr w:vertAnchor="text" w:horzAnchor="text" w:rightFromText="180" w:tblpX="0" w:tblpY="1"/>
        <w:tblOverlap w:val="never"/>
        <w:tblW w:w="12888" w:type="dxa"/>
        <w:jc w:val="start"/>
        <w:tblInd w:w="108" w:type="dxa"/>
        <w:tblLayout w:type="fixed"/>
        <w:tblCellMar>
          <w:top w:w="0" w:type="dxa"/>
          <w:start w:w="108" w:type="dxa"/>
          <w:bottom w:w="0" w:type="dxa"/>
          <w:end w:w="108" w:type="dxa"/>
        </w:tblCellMar>
      </w:tblPr>
      <w:tblGrid>
        <w:gridCol w:w="5973"/>
        <w:gridCol w:w="1605"/>
        <w:gridCol w:w="5310"/>
      </w:tblGrid>
      <w:tr>
        <w:trPr/>
        <w:tc>
          <w:tcPr>
            <w:tcW w:w="5973" w:type="dxa"/>
            <w:tcBorders/>
          </w:tcPr>
          <w:p>
            <w:pPr>
              <w:pStyle w:val="Body"/>
              <w:snapToGrid w:val="false"/>
              <w:ind w:start="0" w:end="0"/>
              <w:rPr>
                <w:b/>
                <w:i/>
                <w:i/>
              </w:rPr>
            </w:pPr>
            <w:r>
              <w:rPr>
                <w:b/>
                <w:i/>
              </w:rPr>
            </w:r>
          </w:p>
          <w:p>
            <w:pPr>
              <w:pStyle w:val="Body"/>
              <w:tabs>
                <w:tab w:val="left" w:pos="1440" w:leader="none"/>
              </w:tabs>
              <w:ind w:start="0" w:end="0"/>
              <w:rPr/>
            </w:pPr>
            <w:r>
              <w:rPr>
                <w:rFonts w:eastAsia="Arial"/>
                <w:b/>
                <w:i/>
              </w:rPr>
              <w:t xml:space="preserve">                                                  </w:t>
            </w:r>
            <w:r>
              <w:rPr>
                <w:rFonts w:eastAsia="Arial"/>
                <w:b/>
                <w:i/>
                <w:u w:val="single"/>
              </w:rPr>
              <w:t xml:space="preserve"> </w:t>
            </w:r>
            <w:r>
              <w:rPr>
                <w:b/>
                <w:i/>
                <w:u w:val="single"/>
              </w:rPr>
              <w:t>Risk</w:t>
            </w:r>
          </w:p>
        </w:tc>
        <w:tc>
          <w:tcPr>
            <w:tcW w:w="1605" w:type="dxa"/>
            <w:tcBorders/>
          </w:tcPr>
          <w:p>
            <w:pPr>
              <w:pStyle w:val="Body"/>
              <w:snapToGrid w:val="false"/>
              <w:ind w:start="0" w:end="0"/>
              <w:rPr>
                <w:b/>
                <w:i/>
                <w:i/>
                <w:u w:val="single"/>
              </w:rPr>
            </w:pPr>
            <w:r>
              <w:rPr>
                <w:b/>
                <w:i/>
                <w:u w:val="single"/>
              </w:rPr>
            </w:r>
          </w:p>
          <w:p>
            <w:pPr>
              <w:pStyle w:val="Body"/>
              <w:ind w:start="0" w:end="0"/>
              <w:rPr/>
            </w:pPr>
            <w:r>
              <w:rPr>
                <w:rFonts w:eastAsia="Arial"/>
                <w:b/>
                <w:i/>
              </w:rPr>
              <w:t xml:space="preserve">  </w:t>
            </w:r>
            <w:r>
              <w:rPr>
                <w:b/>
                <w:i/>
                <w:u w:val="single"/>
              </w:rPr>
              <w:t xml:space="preserve">Risk Rating </w:t>
            </w:r>
          </w:p>
        </w:tc>
        <w:tc>
          <w:tcPr>
            <w:tcW w:w="5310" w:type="dxa"/>
            <w:tcBorders/>
          </w:tcPr>
          <w:p>
            <w:pPr>
              <w:pStyle w:val="Body"/>
              <w:snapToGrid w:val="false"/>
              <w:ind w:start="0" w:end="0"/>
              <w:rPr>
                <w:b/>
                <w:i/>
                <w:i/>
                <w:u w:val="single"/>
              </w:rPr>
            </w:pPr>
            <w:r>
              <w:rPr>
                <w:b/>
                <w:i/>
                <w:u w:val="single"/>
              </w:rPr>
            </w:r>
          </w:p>
          <w:p>
            <w:pPr>
              <w:pStyle w:val="Body"/>
              <w:ind w:start="0" w:end="0"/>
              <w:rPr/>
            </w:pPr>
            <w:r>
              <w:rPr>
                <w:rFonts w:eastAsia="Arial"/>
                <w:b/>
                <w:i/>
              </w:rPr>
              <w:t xml:space="preserve">                           </w:t>
            </w:r>
            <w:r>
              <w:rPr>
                <w:rFonts w:eastAsia="Arial"/>
                <w:b/>
                <w:i/>
                <w:u w:val="single"/>
              </w:rPr>
              <w:t xml:space="preserve"> </w:t>
            </w:r>
            <w:r>
              <w:rPr>
                <w:b/>
                <w:i/>
                <w:u w:val="single"/>
              </w:rPr>
              <w:t>Mitigating Factors</w:t>
            </w:r>
          </w:p>
        </w:tc>
      </w:tr>
      <w:tr>
        <w:trPr/>
        <w:tc>
          <w:tcPr>
            <w:tcW w:w="5973" w:type="dxa"/>
            <w:tcBorders/>
          </w:tcPr>
          <w:p>
            <w:pPr>
              <w:pStyle w:val="Body"/>
              <w:snapToGrid w:val="false"/>
              <w:ind w:start="0" w:end="0"/>
              <w:rPr>
                <w:b/>
                <w:i/>
                <w:i/>
                <w:u w:val="single"/>
              </w:rPr>
            </w:pPr>
            <w:r>
              <w:rPr>
                <w:b/>
                <w:i/>
                <w:u w:val="single"/>
              </w:rPr>
            </w:r>
          </w:p>
        </w:tc>
        <w:tc>
          <w:tcPr>
            <w:tcW w:w="1605" w:type="dxa"/>
            <w:tcBorders/>
          </w:tcPr>
          <w:p>
            <w:pPr>
              <w:pStyle w:val="Body"/>
              <w:ind w:start="0" w:end="0"/>
              <w:rPr>
                <w:rFonts w:eastAsia="Arial"/>
                <w:b/>
              </w:rPr>
            </w:pPr>
            <w:r>
              <w:rPr>
                <w:rFonts w:eastAsia="Arial"/>
                <w:b/>
              </w:rPr>
              <w:t xml:space="preserve">       </w:t>
            </w:r>
          </w:p>
        </w:tc>
        <w:tc>
          <w:tcPr>
            <w:tcW w:w="5310" w:type="dxa"/>
            <w:tcBorders/>
          </w:tcPr>
          <w:p>
            <w:pPr>
              <w:pStyle w:val="Body"/>
              <w:snapToGrid w:val="false"/>
              <w:ind w:start="0" w:end="0"/>
              <w:rPr>
                <w:b/>
              </w:rPr>
            </w:pPr>
            <w:r>
              <w:rPr>
                <w:b/>
              </w:rPr>
            </w:r>
          </w:p>
        </w:tc>
      </w:tr>
      <w:tr>
        <w:trPr>
          <w:trHeight w:val="2538" w:hRule="atLeast"/>
        </w:trPr>
        <w:tc>
          <w:tcPr>
            <w:tcW w:w="5973" w:type="dxa"/>
            <w:tcBorders/>
          </w:tcPr>
          <w:p>
            <w:pPr>
              <w:pStyle w:val="Normal"/>
              <w:numPr>
                <w:ilvl w:val="0"/>
                <w:numId w:val="5"/>
              </w:numPr>
              <w:jc w:val="both"/>
              <w:rPr>
                <w:sz w:val="20"/>
              </w:rPr>
            </w:pPr>
            <w:r>
              <w:rPr>
                <w:rFonts w:eastAsia="Arial"/>
                <w:sz w:val="20"/>
              </w:rPr>
              <w:t xml:space="preserve">    </w:t>
            </w:r>
            <w:r>
              <w:rPr>
                <w:sz w:val="20"/>
                <w:u w:val="single"/>
              </w:rPr>
              <w:t>Contract Enforceability</w:t>
            </w:r>
            <w:r>
              <w:rPr>
                <w:sz w:val="20"/>
              </w:rPr>
              <w:t>. Bahamian law governs the License, and the law firm of Callenders &amp; Co. advises us that the contract is enforceable. The Grand Bahama Port Authority is a quasi government entity that has a Concession to exclusively develop approximately 150,000 acres of land in Grand Bahama and imposes a business license fee and certain regulations on Licensees who engage in business within the Concession territory (deep water port) in Grand Bahama. No sovereign immunity exists under Bahamian law but the GBPA has waived it contractually nevertheless.</w:t>
            </w:r>
          </w:p>
          <w:p>
            <w:pPr>
              <w:pStyle w:val="Body"/>
              <w:tabs>
                <w:tab w:val="left" w:pos="1800" w:leader="none"/>
              </w:tabs>
              <w:ind w:start="1080" w:end="0"/>
              <w:rPr>
                <w:i/>
                <w:i/>
                <w:sz w:val="20"/>
              </w:rPr>
            </w:pPr>
            <w:r>
              <w:rPr>
                <w:i/>
                <w:sz w:val="20"/>
              </w:rPr>
            </w:r>
          </w:p>
          <w:p>
            <w:pPr>
              <w:pStyle w:val="Normal"/>
              <w:ind w:start="60" w:end="0"/>
              <w:rPr>
                <w:i/>
                <w:i/>
                <w:sz w:val="20"/>
              </w:rPr>
            </w:pPr>
            <w:r>
              <w:rPr>
                <w:i/>
                <w:sz w:val="20"/>
              </w:rPr>
            </w:r>
          </w:p>
          <w:p>
            <w:pPr>
              <w:pStyle w:val="Normal"/>
              <w:ind w:start="60" w:end="0"/>
              <w:rPr>
                <w:sz w:val="20"/>
              </w:rPr>
            </w:pPr>
            <w:r>
              <w:rPr>
                <w:sz w:val="20"/>
              </w:rPr>
            </w:r>
          </w:p>
          <w:p>
            <w:pPr>
              <w:pStyle w:val="Normal"/>
              <w:ind w:start="60" w:end="0"/>
              <w:rPr>
                <w:sz w:val="20"/>
              </w:rPr>
            </w:pPr>
            <w:r>
              <w:rPr>
                <w:sz w:val="20"/>
              </w:rPr>
            </w:r>
          </w:p>
          <w:p>
            <w:pPr>
              <w:pStyle w:val="Normal"/>
              <w:ind w:start="60" w:end="0"/>
              <w:rPr>
                <w:sz w:val="20"/>
              </w:rPr>
            </w:pPr>
            <w:r>
              <w:rPr>
                <w:sz w:val="20"/>
              </w:rPr>
            </w:r>
          </w:p>
          <w:p>
            <w:pPr>
              <w:pStyle w:val="Normal"/>
              <w:ind w:start="60" w:end="0"/>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numPr>
                <w:ilvl w:val="0"/>
                <w:numId w:val="5"/>
              </w:numPr>
              <w:jc w:val="both"/>
              <w:rPr>
                <w:sz w:val="20"/>
              </w:rPr>
            </w:pPr>
            <w:r>
              <w:rPr>
                <w:rFonts w:eastAsia="Arial"/>
                <w:sz w:val="20"/>
              </w:rPr>
              <w:t xml:space="preserve">    </w:t>
            </w:r>
            <w:r>
              <w:rPr>
                <w:sz w:val="20"/>
                <w:u w:val="single"/>
              </w:rPr>
              <w:t>Environmental Liability; Indemnity</w:t>
            </w:r>
            <w:r>
              <w:rPr>
                <w:sz w:val="20"/>
              </w:rPr>
              <w:t>. The Project site comprises approximately 100 acres that contains some hydrocarbon contamination, asbestos and lead paint. The site was formerly a Cement Plant and has not been operational since approximately 1982. A Phase I environmental survey was conducted and revealed approximately $500,000 of abatement requirements under Enron policy. The Seller will not indemnify Hawksbill from such liabilities and is a special purpose vehicle anyway. Under the License, Hawksbill is required to ”correct or remediate…. any hazardous materials that are caused as a result of Licensees activities on the Approved Premises…” under U.S. federal law or Bahamian law, whichever imposes the highest environmental standard.  The License requires Hawksbill to indemnify the GBPA for claims against the GBPA by third parties for property damage and personal injury caused by Hawksbill’s acts and omissions that constitute negligence, gross negligence or strict liability. Additionally, Hawksbill must compensate such claimants in accordance with Bahamian law.</w:t>
            </w:r>
          </w:p>
          <w:p>
            <w:pPr>
              <w:pStyle w:val="Body"/>
              <w:tabs>
                <w:tab w:val="left" w:pos="1800" w:leader="none"/>
              </w:tabs>
              <w:rPr>
                <w:i/>
                <w:i/>
                <w:sz w:val="20"/>
              </w:rPr>
            </w:pPr>
            <w:r>
              <w:rPr>
                <w:i/>
                <w:sz w:val="20"/>
              </w:rPr>
            </w:r>
          </w:p>
          <w:p>
            <w:pPr>
              <w:pStyle w:val="Body"/>
              <w:tabs>
                <w:tab w:val="left" w:pos="1800" w:leader="none"/>
              </w:tabs>
              <w:rPr>
                <w:i/>
                <w:i/>
              </w:rPr>
            </w:pPr>
            <w:r>
              <w:rPr>
                <w:i/>
              </w:rPr>
            </w:r>
          </w:p>
          <w:p>
            <w:pPr>
              <w:pStyle w:val="Body"/>
              <w:tabs>
                <w:tab w:val="left" w:pos="1800" w:leader="none"/>
              </w:tabs>
              <w:rPr>
                <w:i/>
                <w:i/>
              </w:rPr>
            </w:pPr>
            <w:r>
              <w:rPr>
                <w:i/>
              </w:rPr>
            </w:r>
          </w:p>
          <w:p>
            <w:pPr>
              <w:pStyle w:val="Body"/>
              <w:tabs>
                <w:tab w:val="left" w:pos="1800" w:leader="none"/>
              </w:tabs>
              <w:rPr>
                <w:i/>
                <w:i/>
              </w:rPr>
            </w:pPr>
            <w:r>
              <w:rPr>
                <w:i/>
              </w:rPr>
            </w:r>
          </w:p>
          <w:p>
            <w:pPr>
              <w:pStyle w:val="Body"/>
              <w:tabs>
                <w:tab w:val="left" w:pos="1800" w:leader="none"/>
              </w:tabs>
              <w:rPr>
                <w:i/>
                <w:i/>
              </w:rPr>
            </w:pPr>
            <w:r>
              <w:rPr>
                <w:i/>
              </w:rPr>
            </w:r>
          </w:p>
          <w:p>
            <w:pPr>
              <w:pStyle w:val="Body"/>
              <w:tabs>
                <w:tab w:val="left" w:pos="1800" w:leader="none"/>
              </w:tabs>
              <w:rPr>
                <w:i/>
                <w:i/>
              </w:rPr>
            </w:pPr>
            <w:r>
              <w:rPr>
                <w:i/>
              </w:rPr>
            </w:r>
          </w:p>
          <w:p>
            <w:pPr>
              <w:pStyle w:val="Body"/>
              <w:tabs>
                <w:tab w:val="left" w:pos="1800" w:leader="none"/>
              </w:tabs>
              <w:rPr>
                <w:i/>
                <w:i/>
              </w:rPr>
            </w:pPr>
            <w:r>
              <w:rPr>
                <w:i/>
              </w:rPr>
            </w:r>
          </w:p>
          <w:p>
            <w:pPr>
              <w:pStyle w:val="Body"/>
              <w:tabs>
                <w:tab w:val="left" w:pos="1800" w:leader="none"/>
              </w:tabs>
              <w:rPr>
                <w:i/>
                <w:i/>
              </w:rPr>
            </w:pPr>
            <w:r>
              <w:rPr>
                <w:i/>
              </w:rPr>
            </w:r>
          </w:p>
          <w:p>
            <w:pPr>
              <w:pStyle w:val="Body"/>
              <w:tabs>
                <w:tab w:val="left" w:pos="1800" w:leader="none"/>
              </w:tabs>
              <w:rPr>
                <w:i/>
                <w:i/>
              </w:rPr>
            </w:pPr>
            <w:r>
              <w:rPr>
                <w:i/>
              </w:rPr>
            </w:r>
          </w:p>
          <w:p>
            <w:pPr>
              <w:pStyle w:val="Body"/>
              <w:tabs>
                <w:tab w:val="left" w:pos="1800" w:leader="none"/>
              </w:tabs>
              <w:rPr>
                <w:i/>
                <w:i/>
              </w:rPr>
            </w:pPr>
            <w:r>
              <w:rPr>
                <w:i/>
              </w:rPr>
            </w:r>
          </w:p>
          <w:p>
            <w:pPr>
              <w:pStyle w:val="Body"/>
              <w:tabs>
                <w:tab w:val="left" w:pos="1800" w:leader="none"/>
              </w:tabs>
              <w:rPr>
                <w:i/>
                <w:i/>
              </w:rPr>
            </w:pPr>
            <w:r>
              <w:rPr>
                <w:i/>
              </w:rPr>
            </w:r>
          </w:p>
          <w:p>
            <w:pPr>
              <w:pStyle w:val="Normal"/>
              <w:numPr>
                <w:ilvl w:val="0"/>
                <w:numId w:val="5"/>
              </w:numPr>
              <w:jc w:val="both"/>
              <w:rPr>
                <w:sz w:val="20"/>
              </w:rPr>
            </w:pPr>
            <w:r>
              <w:rPr>
                <w:rFonts w:eastAsia="Arial"/>
                <w:sz w:val="20"/>
              </w:rPr>
              <w:t xml:space="preserve">    </w:t>
            </w:r>
            <w:r>
              <w:rPr>
                <w:sz w:val="20"/>
                <w:u w:val="single"/>
              </w:rPr>
              <w:t>Force Majeure Mismatch</w:t>
            </w:r>
            <w:r>
              <w:rPr>
                <w:sz w:val="20"/>
              </w:rPr>
              <w:t>.  Under the Storage Agreement, an event of force majeure excuses EOTT from delivering normal butane to EGLI, but the inability to obtain normal butane as a result of such force majeure event does not excuse EGLI from paying take or pay conversion fees because it cannot supply normal butane under the Toll Agreement. EOTT’s services under the Storage Agreement may be the only economically viable means for EGLI to deliver normal butane.</w:t>
            </w:r>
          </w:p>
          <w:p>
            <w:pPr>
              <w:pStyle w:val="Body"/>
              <w:tabs>
                <w:tab w:val="left" w:pos="1800" w:leader="none"/>
              </w:tabs>
              <w:ind w:start="60" w:end="0"/>
              <w:rPr>
                <w:i/>
                <w:i/>
                <w:sz w:val="20"/>
              </w:rPr>
            </w:pPr>
            <w:r>
              <w:rPr>
                <w:i/>
                <w:sz w:val="20"/>
              </w:rPr>
            </w:r>
          </w:p>
        </w:tc>
        <w:tc>
          <w:tcPr>
            <w:tcW w:w="1605" w:type="dxa"/>
            <w:tcBorders/>
          </w:tcPr>
          <w:p>
            <w:pPr>
              <w:pStyle w:val="Body"/>
              <w:ind w:start="0" w:end="0"/>
              <w:jc w:val="center"/>
              <w:rPr>
                <w:bCs/>
              </w:rPr>
            </w:pPr>
            <w:r>
              <w:rPr>
                <w:bCs/>
              </w:rPr>
              <w:t>2</w:t>
            </w:r>
          </w:p>
          <w:p>
            <w:pPr>
              <w:pStyle w:val="Normal"/>
              <w:rPr>
                <w:bCs/>
              </w:rPr>
            </w:pPr>
            <w:r>
              <w:rPr>
                <w:bCs/>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sz w:val="20"/>
              </w:rPr>
            </w:pPr>
            <w:r>
              <w:rPr>
                <w:sz w:val="20"/>
              </w:rPr>
            </w:r>
          </w:p>
          <w:p>
            <w:pPr>
              <w:pStyle w:val="Normal"/>
              <w:jc w:val="center"/>
              <w:rPr>
                <w:rFonts w:eastAsia="Arial"/>
                <w:sz w:val="20"/>
              </w:rPr>
            </w:pPr>
            <w:r>
              <w:rPr>
                <w:rFonts w:eastAsia="Arial"/>
                <w:sz w:val="20"/>
              </w:rPr>
              <w:t xml:space="preserve"> </w:t>
            </w:r>
          </w:p>
          <w:p>
            <w:pPr>
              <w:pStyle w:val="Normal"/>
              <w:jc w:val="center"/>
              <w:rPr>
                <w:sz w:val="20"/>
              </w:rPr>
            </w:pPr>
            <w:r>
              <w:rPr>
                <w:sz w:val="20"/>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sz w:val="20"/>
              </w:rPr>
            </w:pPr>
            <w:r>
              <w:rPr>
                <w:sz w:val="20"/>
              </w:rPr>
            </w:r>
          </w:p>
          <w:p>
            <w:pPr>
              <w:pStyle w:val="Normal"/>
              <w:jc w:val="center"/>
              <w:rPr>
                <w:sz w:val="20"/>
              </w:rPr>
            </w:pPr>
            <w:r>
              <w:rPr>
                <w:sz w:val="20"/>
              </w:rPr>
            </w:r>
          </w:p>
          <w:p>
            <w:pPr>
              <w:pStyle w:val="Normal"/>
              <w:jc w:val="center"/>
              <w:rPr/>
            </w:pPr>
            <w:r>
              <w:rPr/>
            </w:r>
          </w:p>
          <w:p>
            <w:pPr>
              <w:pStyle w:val="Normal"/>
              <w:jc w:val="center"/>
              <w:rPr/>
            </w:pPr>
            <w:r>
              <w:rPr/>
            </w:r>
          </w:p>
          <w:p>
            <w:pPr>
              <w:pStyle w:val="Normal"/>
              <w:jc w:val="center"/>
              <w:rPr>
                <w:sz w:val="20"/>
              </w:rPr>
            </w:pPr>
            <w:r>
              <w:rPr>
                <w:sz w:val="20"/>
              </w:rPr>
            </w:r>
          </w:p>
          <w:p>
            <w:pPr>
              <w:pStyle w:val="Normal"/>
              <w:jc w:val="center"/>
              <w:rPr>
                <w:sz w:val="20"/>
              </w:rPr>
            </w:pPr>
            <w:r>
              <w:rPr>
                <w:sz w:val="20"/>
              </w:rPr>
              <w:t>2.5</w:t>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jc w:val="center"/>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jc w:val="center"/>
              <w:rPr>
                <w:sz w:val="20"/>
              </w:rPr>
            </w:pPr>
            <w:r>
              <w:rPr>
                <w:sz w:val="20"/>
              </w:rPr>
            </w:r>
          </w:p>
        </w:tc>
        <w:tc>
          <w:tcPr>
            <w:tcW w:w="5310" w:type="dxa"/>
            <w:tcBorders/>
          </w:tcPr>
          <w:p>
            <w:pPr>
              <w:pStyle w:val="Body"/>
              <w:numPr>
                <w:ilvl w:val="0"/>
                <w:numId w:val="6"/>
              </w:numPr>
              <w:jc w:val="both"/>
              <w:rPr>
                <w:bCs/>
              </w:rPr>
            </w:pPr>
            <w:r>
              <w:rPr/>
              <w:t xml:space="preserve">The License requires arbitration in New York City pursuant to the International Chamber of Commerce rules.    There have been several cases requiring the GBPA to honor contracts in the Bahamas (they have never abrogated a contract but there have been cases involving disputes with Licensees in which it is clear that the GBPA is liable for contract damages). If the Government of the Bahamas breaches the Concession with the GBPA, the Licensees would have little recourse other than to allege contract frustration by the GBPA, seek to avoid paying the Annual License Fee (assuming the Government of the Bahamas is simultaneously trying to impose a tax or fee on the Licensee too), and negotiate directly with the Government. Finally, the Government is pro business, and next year’s elections are expected to continue this investment climate.     </w:t>
            </w:r>
          </w:p>
          <w:p>
            <w:pPr>
              <w:pStyle w:val="Body"/>
              <w:ind w:start="360" w:end="0"/>
              <w:jc w:val="both"/>
              <w:rPr>
                <w:bCs/>
              </w:rPr>
            </w:pPr>
            <w:r>
              <w:rPr>
                <w:rFonts w:eastAsia="Arial"/>
              </w:rPr>
              <w:t xml:space="preserve">  </w:t>
            </w:r>
          </w:p>
          <w:p>
            <w:pPr>
              <w:pStyle w:val="Body"/>
              <w:numPr>
                <w:ilvl w:val="0"/>
                <w:numId w:val="6"/>
              </w:numPr>
              <w:jc w:val="both"/>
              <w:rPr>
                <w:bCs/>
              </w:rPr>
            </w:pPr>
            <w:r>
              <w:rPr/>
              <w:t xml:space="preserve">The Phase II should identify the pre-existing liability and insurance can be purchased to mitigate such pre-existing liability. </w:t>
            </w:r>
          </w:p>
          <w:p>
            <w:pPr>
              <w:pStyle w:val="Normal"/>
              <w:rPr>
                <w:bCs/>
              </w:rPr>
            </w:pPr>
            <w:r>
              <w:rPr>
                <w:bCs/>
              </w:rPr>
            </w:r>
          </w:p>
          <w:p>
            <w:pPr>
              <w:pStyle w:val="Body"/>
              <w:numPr>
                <w:ilvl w:val="0"/>
                <w:numId w:val="6"/>
              </w:numPr>
              <w:jc w:val="both"/>
              <w:rPr/>
            </w:pPr>
            <w:r>
              <w:rPr/>
              <w:t>Future remediation caused “as a result of Hawksbill’s activities on the Approved Premises” is more vague and subjects Hawksbill to claims related to the LNG plant that were not caused by Hawksbill but could have been caused by a third party LNG ship, a contractor, a customer or third party who damages the Facility.   Insurance will ultimately mitigate this risk but the vague causation standard is the best we could negotiate and could invite future claims. Under  Bahamian law, we can argue that “Hawksbill’s activities” did not cause the environmental condition or event,  but rather the acts or omissions of a third party that affected the Approved Premises.</w:t>
            </w:r>
          </w:p>
          <w:p>
            <w:pPr>
              <w:pStyle w:val="Normal"/>
              <w:rPr/>
            </w:pPr>
            <w:r>
              <w:rPr/>
            </w:r>
          </w:p>
          <w:p>
            <w:pPr>
              <w:pStyle w:val="Body"/>
              <w:numPr>
                <w:ilvl w:val="0"/>
                <w:numId w:val="6"/>
              </w:numPr>
              <w:jc w:val="both"/>
              <w:rPr>
                <w:bCs/>
              </w:rPr>
            </w:pPr>
            <w:r>
              <w:rPr/>
              <w:t>The indemnity is really a restatement of Bahamian law. Insurance will be procured to cover this risk and the likelihood is that in the event there is third party causation (ships, other industry users) there will be multiple layers of insurance brought into the litigation.</w:t>
            </w:r>
          </w:p>
          <w:p>
            <w:pPr>
              <w:pStyle w:val="Normal"/>
              <w:rPr>
                <w:bCs/>
              </w:rPr>
            </w:pPr>
            <w:r>
              <w:rPr>
                <w:bCs/>
              </w:rPr>
            </w:r>
          </w:p>
          <w:p>
            <w:pPr>
              <w:pStyle w:val="Normal"/>
              <w:rPr/>
            </w:pPr>
            <w:r>
              <w:rPr/>
            </w:r>
          </w:p>
          <w:p>
            <w:pPr>
              <w:pStyle w:val="Normal"/>
              <w:rPr/>
            </w:pPr>
            <w:r>
              <w:rPr/>
            </w:r>
          </w:p>
          <w:p>
            <w:pPr>
              <w:pStyle w:val="Normal"/>
              <w:rPr/>
            </w:pPr>
            <w:r>
              <w:rPr/>
            </w:r>
          </w:p>
          <w:p>
            <w:pPr>
              <w:pStyle w:val="Normal"/>
              <w:jc w:val="center"/>
              <w:rPr/>
            </w:pPr>
            <w:r>
              <w:rPr/>
            </w:r>
          </w:p>
          <w:p>
            <w:pPr>
              <w:pStyle w:val="Normal"/>
              <w:tabs>
                <w:tab w:val="clear" w:pos="540"/>
                <w:tab w:val="right" w:pos="4842" w:leader="none"/>
              </w:tabs>
              <w:ind w:start="360" w:end="0"/>
              <w:rPr/>
            </w:pPr>
            <w:r>
              <w:rPr/>
            </w:r>
          </w:p>
          <w:p>
            <w:pPr>
              <w:pStyle w:val="Normal"/>
              <w:tabs>
                <w:tab w:val="clear" w:pos="540"/>
                <w:tab w:val="right" w:pos="4842" w:leader="none"/>
              </w:tabs>
              <w:ind w:start="360" w:end="0"/>
              <w:rPr/>
            </w:pPr>
            <w:r>
              <w:rPr/>
            </w:r>
          </w:p>
          <w:p>
            <w:pPr>
              <w:pStyle w:val="Normal"/>
              <w:numPr>
                <w:ilvl w:val="0"/>
                <w:numId w:val="6"/>
              </w:numPr>
              <w:tabs>
                <w:tab w:val="clear" w:pos="540"/>
                <w:tab w:val="right" w:pos="4842" w:leader="none"/>
              </w:tabs>
              <w:jc w:val="both"/>
              <w:rPr/>
            </w:pPr>
            <w:r>
              <w:rPr>
                <w:sz w:val="20"/>
              </w:rPr>
              <w:t>The risk of a force majeure event has been represented as low.  In addition, an alternative pipeline for delivery of normal butane to the MTBE plant could be constructed but the economics of this alternative have not been developed.</w:t>
            </w:r>
          </w:p>
        </w:tc>
      </w:tr>
      <w:tr>
        <w:trPr/>
        <w:tc>
          <w:tcPr>
            <w:tcW w:w="5973" w:type="dxa"/>
            <w:tcBorders/>
          </w:tcPr>
          <w:p>
            <w:pPr>
              <w:pStyle w:val="Body"/>
              <w:tabs>
                <w:tab w:val="left" w:pos="1800" w:leader="none"/>
              </w:tabs>
              <w:snapToGrid w:val="false"/>
              <w:ind w:start="1080" w:end="0"/>
              <w:rPr>
                <w:i/>
                <w:i/>
              </w:rPr>
            </w:pPr>
            <w:r>
              <w:rPr>
                <w:i/>
              </w:rPr>
            </w:r>
          </w:p>
        </w:tc>
        <w:tc>
          <w:tcPr>
            <w:tcW w:w="1605" w:type="dxa"/>
            <w:tcBorders/>
          </w:tcPr>
          <w:p>
            <w:pPr>
              <w:pStyle w:val="Body"/>
              <w:snapToGrid w:val="false"/>
              <w:ind w:start="0" w:end="0"/>
              <w:jc w:val="center"/>
              <w:rPr>
                <w:bCs/>
                <w:i/>
                <w:i/>
              </w:rPr>
            </w:pPr>
            <w:r>
              <w:rPr>
                <w:bCs/>
                <w:i/>
              </w:rPr>
            </w:r>
          </w:p>
        </w:tc>
        <w:tc>
          <w:tcPr>
            <w:tcW w:w="5310" w:type="dxa"/>
            <w:tcBorders/>
          </w:tcPr>
          <w:p>
            <w:pPr>
              <w:pStyle w:val="Body"/>
              <w:snapToGrid w:val="false"/>
              <w:jc w:val="both"/>
              <w:rPr>
                <w:bCs/>
              </w:rPr>
            </w:pPr>
            <w:r>
              <w:rPr>
                <w:bCs/>
              </w:rPr>
            </w:r>
          </w:p>
          <w:p>
            <w:pPr>
              <w:pStyle w:val="Body"/>
              <w:jc w:val="both"/>
              <w:rPr>
                <w:bCs/>
              </w:rPr>
            </w:pPr>
            <w:r>
              <w:rPr>
                <w:bCs/>
              </w:rPr>
            </w:r>
          </w:p>
        </w:tc>
      </w:tr>
    </w:tbl>
    <w:p>
      <w:pPr>
        <w:pStyle w:val="Footer"/>
        <w:tabs>
          <w:tab w:val="clear" w:pos="4320"/>
          <w:tab w:val="clear" w:pos="8640"/>
          <w:tab w:val="left" w:pos="540" w:leader="none"/>
          <w:tab w:val="left" w:pos="4770" w:leader="none"/>
        </w:tabs>
        <w:rPr/>
      </w:pPr>
      <w:r>
        <w:rPr/>
      </w:r>
      <w:r>
        <w:br w:type="page"/>
      </w:r>
    </w:p>
    <w:p>
      <w:pPr>
        <w:pStyle w:val="Footer"/>
        <w:tabs>
          <w:tab w:val="clear" w:pos="4320"/>
          <w:tab w:val="clear" w:pos="8640"/>
          <w:tab w:val="left" w:pos="540" w:leader="none"/>
          <w:tab w:val="left" w:pos="4770" w:leader="none"/>
        </w:tabs>
        <w:rPr/>
      </w:pPr>
      <w:r>
        <w:rPr/>
      </w:r>
    </w:p>
    <w:p>
      <w:pPr>
        <w:pStyle w:val="Normal"/>
        <w:tabs>
          <w:tab w:val="left" w:pos="540" w:leader="none"/>
          <w:tab w:val="left" w:pos="5760" w:leader="none"/>
        </w:tabs>
        <w:rPr/>
      </w:pPr>
      <w:r>
        <w:rPr/>
      </w:r>
    </w:p>
    <w:tbl>
      <w:tblPr>
        <w:tblW w:w="24452" w:type="dxa"/>
        <w:jc w:val="start"/>
        <w:tblInd w:w="360" w:type="dxa"/>
        <w:tblLayout w:type="fixed"/>
        <w:tblCellMar>
          <w:top w:w="0" w:type="dxa"/>
          <w:start w:w="108" w:type="dxa"/>
          <w:bottom w:w="0" w:type="dxa"/>
          <w:end w:w="108" w:type="dxa"/>
        </w:tblCellMar>
      </w:tblPr>
      <w:tblGrid>
        <w:gridCol w:w="6228"/>
        <w:gridCol w:w="900"/>
        <w:gridCol w:w="7470"/>
        <w:gridCol w:w="6930"/>
        <w:gridCol w:w="2924"/>
      </w:tblGrid>
      <w:tr>
        <w:trPr/>
        <w:tc>
          <w:tcPr>
            <w:tcW w:w="6228" w:type="dxa"/>
            <w:tcBorders/>
          </w:tcPr>
          <w:p>
            <w:pPr>
              <w:pStyle w:val="Normal"/>
              <w:numPr>
                <w:ilvl w:val="0"/>
                <w:numId w:val="6"/>
              </w:numPr>
              <w:jc w:val="both"/>
              <w:rPr>
                <w:sz w:val="20"/>
              </w:rPr>
            </w:pPr>
            <w:r>
              <w:rPr>
                <w:rFonts w:eastAsia="Arial"/>
                <w:sz w:val="20"/>
              </w:rPr>
              <w:t xml:space="preserve">   </w:t>
            </w:r>
            <w:r>
              <w:rPr>
                <w:sz w:val="20"/>
                <w:u w:val="single"/>
              </w:rPr>
              <w:t>Commercial Risk</w:t>
            </w:r>
            <w:r>
              <w:rPr>
                <w:sz w:val="20"/>
              </w:rPr>
              <w:t xml:space="preserve">.  The License imposes a $3MM annual fee for 53 years on Hawksbill Creek LNG, Ltd. </w:t>
            </w:r>
          </w:p>
          <w:p>
            <w:pPr>
              <w:pStyle w:val="Normal"/>
              <w:ind w:end="-1008"/>
              <w:rPr>
                <w:sz w:val="20"/>
              </w:rPr>
            </w:pPr>
            <w:r>
              <w:rPr>
                <w:sz w:val="20"/>
              </w:rPr>
            </w:r>
          </w:p>
        </w:tc>
        <w:tc>
          <w:tcPr>
            <w:tcW w:w="900" w:type="dxa"/>
            <w:tcBorders/>
          </w:tcPr>
          <w:p>
            <w:pPr>
              <w:pStyle w:val="Subject"/>
              <w:tabs>
                <w:tab w:val="left" w:pos="540" w:leader="none"/>
              </w:tabs>
              <w:rPr/>
            </w:pPr>
            <w:r>
              <w:rPr>
                <w:rFonts w:eastAsia="Arial"/>
              </w:rPr>
              <w:t xml:space="preserve">    </w:t>
            </w:r>
            <w:r>
              <w:rPr/>
              <w:t>1</w:t>
            </w:r>
          </w:p>
          <w:p>
            <w:pPr>
              <w:pStyle w:val="Footer"/>
              <w:tabs>
                <w:tab w:val="clear" w:pos="4320"/>
                <w:tab w:val="clear" w:pos="8640"/>
                <w:tab w:val="left" w:pos="540" w:leader="none"/>
              </w:tabs>
              <w:rPr>
                <w:rFonts w:eastAsia="Arial"/>
                <w:sz w:val="20"/>
              </w:rPr>
            </w:pPr>
            <w:r>
              <w:rPr>
                <w:rFonts w:eastAsia="Arial"/>
                <w:sz w:val="20"/>
              </w:rPr>
              <w:t xml:space="preserve">    </w:t>
            </w:r>
          </w:p>
        </w:tc>
        <w:tc>
          <w:tcPr>
            <w:tcW w:w="7470" w:type="dxa"/>
            <w:tcBorders/>
          </w:tcPr>
          <w:p>
            <w:pPr>
              <w:pStyle w:val="Normal"/>
              <w:numPr>
                <w:ilvl w:val="0"/>
                <w:numId w:val="4"/>
              </w:numPr>
              <w:tabs>
                <w:tab w:val="clear" w:pos="540"/>
                <w:tab w:val="left" w:pos="792" w:leader="none"/>
              </w:tabs>
              <w:ind w:hanging="432" w:start="792" w:end="0"/>
              <w:jc w:val="both"/>
              <w:rPr/>
            </w:pPr>
            <w:r>
              <w:rPr>
                <w:sz w:val="20"/>
              </w:rPr>
              <w:t>There is no parent guaranty securing the payment of the annual fee or any other obligation under the License, and Hawksbill can terminate by surrendering the License with liability only for unpaid fees and expenses incurred to date. Otherwise, the next payment obligation is $2.5MM due on December 31, 2002.</w:t>
            </w:r>
          </w:p>
          <w:p>
            <w:pPr>
              <w:pStyle w:val="Normal"/>
              <w:tabs>
                <w:tab w:val="clear" w:pos="540"/>
              </w:tabs>
              <w:ind w:start="360" w:end="0"/>
              <w:jc w:val="both"/>
              <w:rPr/>
            </w:pPr>
            <w:r>
              <w:rPr/>
            </w:r>
          </w:p>
        </w:tc>
        <w:tc>
          <w:tcPr>
            <w:tcW w:w="6930" w:type="dxa"/>
            <w:tcBorders/>
          </w:tcPr>
          <w:p>
            <w:pPr>
              <w:pStyle w:val="Normal"/>
              <w:snapToGrid w:val="false"/>
              <w:rPr/>
            </w:pPr>
            <w:r>
              <w:rPr/>
            </w:r>
          </w:p>
        </w:tc>
        <w:tc>
          <w:tcPr>
            <w:tcW w:w="2924" w:type="dxa"/>
            <w:tcBorders/>
          </w:tcPr>
          <w:p>
            <w:pPr>
              <w:pStyle w:val="Normal"/>
              <w:snapToGrid w:val="false"/>
              <w:rPr/>
            </w:pPr>
            <w:r>
              <w:rPr/>
            </w:r>
          </w:p>
        </w:tc>
      </w:tr>
      <w:tr>
        <w:trPr/>
        <w:tc>
          <w:tcPr>
            <w:tcW w:w="6228" w:type="dxa"/>
            <w:tcBorders/>
          </w:tcPr>
          <w:p>
            <w:pPr>
              <w:pStyle w:val="Normal"/>
              <w:numPr>
                <w:ilvl w:val="0"/>
                <w:numId w:val="4"/>
              </w:numPr>
              <w:jc w:val="both"/>
              <w:rPr/>
            </w:pPr>
            <w:r>
              <w:rPr>
                <w:rFonts w:eastAsia="Arial"/>
                <w:sz w:val="20"/>
              </w:rPr>
              <w:t xml:space="preserve">   </w:t>
            </w:r>
            <w:r>
              <w:rPr>
                <w:sz w:val="20"/>
                <w:u w:val="single"/>
              </w:rPr>
              <w:t>Counterpart Insolvency</w:t>
            </w:r>
            <w:r>
              <w:rPr>
                <w:sz w:val="20"/>
              </w:rPr>
              <w:t>.  The GBPA operates based on the income it receives in annual license fees from Licensees or the capital contributions from its shareholders, two wealthy British families. The island has ample licensees currently to provide enough cash flow for the GBPA to maintain the infrastructure on the island but that could change.</w:t>
            </w:r>
          </w:p>
        </w:tc>
        <w:tc>
          <w:tcPr>
            <w:tcW w:w="900" w:type="dxa"/>
            <w:tcBorders/>
          </w:tcPr>
          <w:p>
            <w:pPr>
              <w:pStyle w:val="Normal"/>
              <w:rPr/>
            </w:pPr>
            <w:r>
              <w:rPr>
                <w:rFonts w:eastAsia="Arial"/>
              </w:rPr>
              <w:t xml:space="preserve">    </w:t>
            </w:r>
            <w:r>
              <w:rPr>
                <w:sz w:val="20"/>
              </w:rPr>
              <w:t>2</w:t>
            </w:r>
          </w:p>
          <w:p>
            <w:pPr>
              <w:pStyle w:val="Footer"/>
              <w:tabs>
                <w:tab w:val="clear" w:pos="4320"/>
                <w:tab w:val="clear" w:pos="8640"/>
                <w:tab w:val="left" w:pos="252" w:leader="none"/>
                <w:tab w:val="left" w:pos="540" w:leader="none"/>
              </w:tabs>
              <w:rPr>
                <w:sz w:val="20"/>
              </w:rPr>
            </w:pPr>
            <w:r>
              <w:rPr>
                <w:rFonts w:eastAsia="Arial"/>
              </w:rPr>
              <w:t xml:space="preserve">    </w:t>
            </w:r>
          </w:p>
        </w:tc>
        <w:tc>
          <w:tcPr>
            <w:tcW w:w="7470" w:type="dxa"/>
            <w:tcBorders/>
          </w:tcPr>
          <w:p>
            <w:pPr>
              <w:pStyle w:val="Subject"/>
              <w:numPr>
                <w:ilvl w:val="0"/>
                <w:numId w:val="2"/>
              </w:numPr>
              <w:tabs>
                <w:tab w:val="left" w:pos="792" w:leader="none"/>
              </w:tabs>
              <w:ind w:hanging="432" w:start="792" w:end="0"/>
              <w:jc w:val="both"/>
              <w:rPr/>
            </w:pPr>
            <w:r>
              <w:rPr/>
              <w:t>As a practical matter, this should be a minor risk since the GBPA has a valuable Concession and enjoys broad commerce from licensees engaged in tourism, gaming, shipping, aggregates, trans-shipment, vessel dry dock services, among others.</w:t>
            </w:r>
          </w:p>
        </w:tc>
        <w:tc>
          <w:tcPr>
            <w:tcW w:w="6930" w:type="dxa"/>
            <w:tcBorders/>
          </w:tcPr>
          <w:p>
            <w:pPr>
              <w:pStyle w:val="Normal"/>
              <w:snapToGrid w:val="false"/>
              <w:rPr/>
            </w:pPr>
            <w:r>
              <w:rPr/>
            </w:r>
          </w:p>
        </w:tc>
        <w:tc>
          <w:tcPr>
            <w:tcW w:w="2924" w:type="dxa"/>
            <w:tcBorders/>
          </w:tcPr>
          <w:p>
            <w:pPr>
              <w:pStyle w:val="Normal"/>
              <w:snapToGrid w:val="false"/>
              <w:rPr/>
            </w:pPr>
            <w:r>
              <w:rPr/>
            </w:r>
          </w:p>
        </w:tc>
      </w:tr>
      <w:tr>
        <w:trPr/>
        <w:tc>
          <w:tcPr>
            <w:tcW w:w="6228" w:type="dxa"/>
            <w:tcBorders/>
          </w:tcPr>
          <w:p>
            <w:pPr>
              <w:pStyle w:val="Normal"/>
              <w:snapToGrid w:val="false"/>
              <w:ind w:start="360" w:end="0"/>
              <w:jc w:val="both"/>
              <w:rPr>
                <w:sz w:val="20"/>
                <w:u w:val="single"/>
              </w:rPr>
            </w:pPr>
            <w:r>
              <w:rPr>
                <w:sz w:val="20"/>
                <w:u w:val="single"/>
              </w:rPr>
            </w:r>
          </w:p>
          <w:p>
            <w:pPr>
              <w:pStyle w:val="Normal"/>
              <w:numPr>
                <w:ilvl w:val="0"/>
                <w:numId w:val="2"/>
              </w:numPr>
              <w:jc w:val="both"/>
              <w:rPr>
                <w:sz w:val="20"/>
                <w:u w:val="single"/>
              </w:rPr>
            </w:pPr>
            <w:r>
              <w:rPr>
                <w:rFonts w:eastAsia="Arial"/>
                <w:sz w:val="20"/>
              </w:rPr>
              <w:t xml:space="preserve">   </w:t>
            </w:r>
            <w:r>
              <w:rPr>
                <w:sz w:val="20"/>
                <w:u w:val="single"/>
              </w:rPr>
              <w:t>Vague Performance Standards</w:t>
            </w:r>
            <w:r>
              <w:rPr>
                <w:sz w:val="20"/>
              </w:rPr>
              <w:t>. The License calls for   Hawksbill, the GBPA and its consultants to agree upon  standards for the environmental permitting, operation, navigation, and insurance requirements for the Project. Vague standards such as these to be agreed upon in the future impose risk on Hawksbill that the GBPA will attempt to extract additional compensation in exchange for permitting.</w:t>
            </w:r>
          </w:p>
          <w:p>
            <w:pPr>
              <w:pStyle w:val="Normal"/>
              <w:ind w:start="360" w:end="0"/>
              <w:jc w:val="both"/>
              <w:rPr>
                <w:sz w:val="20"/>
                <w:u w:val="single"/>
              </w:rPr>
            </w:pPr>
            <w:r>
              <w:rPr>
                <w:sz w:val="20"/>
                <w:u w:val="single"/>
              </w:rPr>
            </w:r>
          </w:p>
          <w:p>
            <w:pPr>
              <w:pStyle w:val="Normal"/>
              <w:ind w:start="360" w:end="0"/>
              <w:jc w:val="both"/>
              <w:rPr>
                <w:sz w:val="20"/>
                <w:u w:val="single"/>
              </w:rPr>
            </w:pPr>
            <w:r>
              <w:rPr>
                <w:sz w:val="20"/>
                <w:u w:val="single"/>
              </w:rPr>
            </w:r>
          </w:p>
          <w:p>
            <w:pPr>
              <w:pStyle w:val="Normal"/>
              <w:numPr>
                <w:ilvl w:val="0"/>
                <w:numId w:val="2"/>
              </w:numPr>
              <w:jc w:val="both"/>
              <w:rPr>
                <w:sz w:val="20"/>
                <w:u w:val="single"/>
              </w:rPr>
            </w:pPr>
            <w:r>
              <w:rPr>
                <w:rFonts w:eastAsia="Arial"/>
                <w:sz w:val="20"/>
                <w:u w:val="single"/>
              </w:rPr>
              <w:t xml:space="preserve">   </w:t>
            </w:r>
            <w:r>
              <w:rPr>
                <w:sz w:val="20"/>
                <w:u w:val="single"/>
              </w:rPr>
              <w:t>Restrictions on Transfer; Change in Control.</w:t>
            </w:r>
            <w:r>
              <w:rPr>
                <w:sz w:val="20"/>
              </w:rPr>
              <w:t xml:space="preserve">  The License restricts the ability to change the beneficial ownership of Hawksbill or Hawksbill’s ownership interest in the Project (in each case other to an affiliate) without the prior written consent of GBPA, which shall not be unreasonably withheld. </w:t>
            </w:r>
          </w:p>
        </w:tc>
        <w:tc>
          <w:tcPr>
            <w:tcW w:w="900" w:type="dxa"/>
            <w:tcBorders/>
          </w:tcPr>
          <w:p>
            <w:pPr>
              <w:pStyle w:val="Subject"/>
              <w:tabs>
                <w:tab w:val="left" w:pos="540" w:leader="none"/>
              </w:tabs>
              <w:snapToGrid w:val="false"/>
              <w:rPr>
                <w:sz w:val="20"/>
                <w:u w:val="single"/>
              </w:rPr>
            </w:pPr>
            <w:r>
              <w:rPr>
                <w:sz w:val="20"/>
                <w:u w:val="single"/>
              </w:rPr>
            </w:r>
          </w:p>
          <w:p>
            <w:pPr>
              <w:pStyle w:val="Footer"/>
              <w:tabs>
                <w:tab w:val="clear" w:pos="4320"/>
                <w:tab w:val="clear" w:pos="8640"/>
                <w:tab w:val="left" w:pos="540" w:leader="none"/>
              </w:tabs>
              <w:rPr>
                <w:sz w:val="20"/>
              </w:rPr>
            </w:pPr>
            <w:r>
              <w:rPr>
                <w:rFonts w:eastAsia="Arial"/>
                <w:sz w:val="20"/>
              </w:rPr>
              <w:t xml:space="preserve">     </w:t>
            </w:r>
            <w:r>
              <w:rPr>
                <w:sz w:val="20"/>
              </w:rPr>
              <w:t>2</w:t>
            </w:r>
          </w:p>
          <w:p>
            <w:pPr>
              <w:pStyle w:val="Normal"/>
              <w:rPr>
                <w:sz w:val="20"/>
              </w:rPr>
            </w:pPr>
            <w:r>
              <w:rPr>
                <w:sz w:val="20"/>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sz w:val="20"/>
              </w:rPr>
            </w:pPr>
            <w:r>
              <w:rPr>
                <w:rFonts w:eastAsia="Arial"/>
              </w:rPr>
              <w:t xml:space="preserve">     </w:t>
            </w:r>
          </w:p>
          <w:p>
            <w:pPr>
              <w:pStyle w:val="Normal"/>
              <w:rPr>
                <w:sz w:val="20"/>
              </w:rPr>
            </w:pPr>
            <w:r>
              <w:rPr>
                <w:sz w:val="20"/>
              </w:rPr>
            </w:r>
          </w:p>
          <w:p>
            <w:pPr>
              <w:pStyle w:val="Normal"/>
              <w:rPr>
                <w:sz w:val="20"/>
              </w:rPr>
            </w:pPr>
            <w:r>
              <w:rPr>
                <w:sz w:val="20"/>
              </w:rPr>
            </w:r>
          </w:p>
          <w:p>
            <w:pPr>
              <w:pStyle w:val="Normal"/>
              <w:rPr>
                <w:sz w:val="20"/>
              </w:rPr>
            </w:pPr>
            <w:r>
              <w:rPr>
                <w:rFonts w:eastAsia="Arial"/>
                <w:sz w:val="20"/>
              </w:rPr>
              <w:t xml:space="preserve">      </w:t>
            </w:r>
            <w:r>
              <w:rPr>
                <w:sz w:val="20"/>
              </w:rPr>
              <w:t>3</w:t>
            </w:r>
          </w:p>
        </w:tc>
        <w:tc>
          <w:tcPr>
            <w:tcW w:w="7470" w:type="dxa"/>
            <w:tcBorders/>
          </w:tcPr>
          <w:p>
            <w:pPr>
              <w:pStyle w:val="Normal"/>
              <w:snapToGrid w:val="false"/>
              <w:jc w:val="both"/>
              <w:rPr>
                <w:sz w:val="20"/>
              </w:rPr>
            </w:pPr>
            <w:r>
              <w:rPr>
                <w:sz w:val="20"/>
              </w:rPr>
            </w:r>
          </w:p>
          <w:p>
            <w:pPr>
              <w:pStyle w:val="Normal"/>
              <w:numPr>
                <w:ilvl w:val="0"/>
                <w:numId w:val="3"/>
              </w:numPr>
              <w:tabs>
                <w:tab w:val="clear" w:pos="540"/>
                <w:tab w:val="left" w:pos="792" w:leader="none"/>
                <w:tab w:val="left" w:pos="882" w:leader="none"/>
              </w:tabs>
              <w:ind w:hanging="432" w:start="792" w:end="0"/>
              <w:jc w:val="both"/>
              <w:rPr/>
            </w:pPr>
            <w:r>
              <w:rPr>
                <w:sz w:val="20"/>
              </w:rPr>
              <w:t>Whatever standards are agreed upon must accord with accepted LNG custom and the Society of International Gas Tanker and Terminal Operators Ltd., standards that Hawksbill and its insurers are comfortable with.</w:t>
            </w:r>
          </w:p>
          <w:p>
            <w:pPr>
              <w:pStyle w:val="Normal"/>
              <w:tabs>
                <w:tab w:val="clear" w:pos="540"/>
                <w:tab w:val="left" w:pos="882" w:leader="none"/>
              </w:tabs>
              <w:jc w:val="both"/>
              <w:rPr>
                <w:sz w:val="20"/>
              </w:rPr>
            </w:pPr>
            <w:r>
              <w:rPr>
                <w:sz w:val="20"/>
              </w:rPr>
            </w:r>
          </w:p>
          <w:p>
            <w:pPr>
              <w:pStyle w:val="Normal"/>
              <w:tabs>
                <w:tab w:val="clear" w:pos="540"/>
                <w:tab w:val="left" w:pos="882" w:leader="none"/>
              </w:tabs>
              <w:jc w:val="both"/>
              <w:rPr>
                <w:sz w:val="20"/>
              </w:rPr>
            </w:pPr>
            <w:r>
              <w:rPr>
                <w:sz w:val="20"/>
              </w:rPr>
            </w:r>
          </w:p>
          <w:p>
            <w:pPr>
              <w:pStyle w:val="Normal"/>
              <w:tabs>
                <w:tab w:val="clear" w:pos="540"/>
                <w:tab w:val="left" w:pos="882" w:leader="none"/>
              </w:tabs>
              <w:jc w:val="both"/>
              <w:rPr>
                <w:sz w:val="20"/>
              </w:rPr>
            </w:pPr>
            <w:r>
              <w:rPr>
                <w:sz w:val="20"/>
              </w:rPr>
            </w:r>
          </w:p>
          <w:p>
            <w:pPr>
              <w:pStyle w:val="Normal"/>
              <w:tabs>
                <w:tab w:val="clear" w:pos="540"/>
                <w:tab w:val="left" w:pos="882" w:leader="none"/>
              </w:tabs>
              <w:jc w:val="both"/>
              <w:rPr>
                <w:sz w:val="20"/>
              </w:rPr>
            </w:pPr>
            <w:r>
              <w:rPr>
                <w:sz w:val="20"/>
              </w:rPr>
            </w:r>
          </w:p>
          <w:p>
            <w:pPr>
              <w:pStyle w:val="Normal"/>
              <w:tabs>
                <w:tab w:val="clear" w:pos="540"/>
                <w:tab w:val="left" w:pos="882" w:leader="none"/>
              </w:tabs>
              <w:jc w:val="both"/>
              <w:rPr>
                <w:sz w:val="20"/>
              </w:rPr>
            </w:pPr>
            <w:r>
              <w:rPr>
                <w:sz w:val="20"/>
              </w:rPr>
            </w:r>
          </w:p>
          <w:p>
            <w:pPr>
              <w:pStyle w:val="Normal"/>
              <w:tabs>
                <w:tab w:val="clear" w:pos="540"/>
                <w:tab w:val="left" w:pos="882" w:leader="none"/>
              </w:tabs>
              <w:jc w:val="both"/>
              <w:rPr>
                <w:sz w:val="20"/>
              </w:rPr>
            </w:pPr>
            <w:r>
              <w:rPr>
                <w:sz w:val="20"/>
              </w:rPr>
            </w:r>
          </w:p>
          <w:p>
            <w:pPr>
              <w:pStyle w:val="Normal"/>
              <w:numPr>
                <w:ilvl w:val="0"/>
                <w:numId w:val="3"/>
              </w:numPr>
              <w:tabs>
                <w:tab w:val="clear" w:pos="540"/>
                <w:tab w:val="left" w:pos="792" w:leader="none"/>
                <w:tab w:val="left" w:pos="882" w:leader="none"/>
              </w:tabs>
              <w:ind w:hanging="432" w:start="792" w:end="0"/>
              <w:jc w:val="both"/>
              <w:rPr>
                <w:sz w:val="20"/>
              </w:rPr>
            </w:pPr>
            <w:r>
              <w:rPr>
                <w:sz w:val="20"/>
              </w:rPr>
              <w:t>The GBPA has consented to the pledge and encumbrance on the Project and Hawksbill’s equity, and any sale of the asset or Hawksbill required under the financing agreements.</w:t>
            </w:r>
          </w:p>
          <w:p>
            <w:pPr>
              <w:pStyle w:val="Normal"/>
              <w:tabs>
                <w:tab w:val="clear" w:pos="540"/>
                <w:tab w:val="left" w:pos="882" w:leader="none"/>
              </w:tabs>
              <w:jc w:val="both"/>
              <w:rPr>
                <w:sz w:val="20"/>
              </w:rPr>
            </w:pPr>
            <w:r>
              <w:rPr>
                <w:sz w:val="20"/>
              </w:rPr>
            </w:r>
          </w:p>
          <w:p>
            <w:pPr>
              <w:pStyle w:val="Normal"/>
              <w:tabs>
                <w:tab w:val="clear" w:pos="540"/>
                <w:tab w:val="left" w:pos="882" w:leader="none"/>
              </w:tabs>
              <w:jc w:val="both"/>
              <w:rPr>
                <w:sz w:val="20"/>
              </w:rPr>
            </w:pPr>
            <w:r>
              <w:rPr>
                <w:sz w:val="20"/>
              </w:rPr>
            </w:r>
          </w:p>
        </w:tc>
        <w:tc>
          <w:tcPr>
            <w:tcW w:w="6930" w:type="dxa"/>
            <w:tcBorders/>
          </w:tcPr>
          <w:p>
            <w:pPr>
              <w:pStyle w:val="Normal"/>
              <w:snapToGrid w:val="false"/>
              <w:rPr/>
            </w:pPr>
            <w:r>
              <w:rPr/>
            </w:r>
          </w:p>
        </w:tc>
        <w:tc>
          <w:tcPr>
            <w:tcW w:w="2924" w:type="dxa"/>
            <w:tcBorders/>
          </w:tcPr>
          <w:p>
            <w:pPr>
              <w:pStyle w:val="Normal"/>
              <w:snapToGrid w:val="false"/>
              <w:rPr/>
            </w:pPr>
            <w:r>
              <w:rPr/>
            </w:r>
          </w:p>
        </w:tc>
      </w:tr>
      <w:tr>
        <w:trPr/>
        <w:tc>
          <w:tcPr>
            <w:tcW w:w="6228" w:type="dxa"/>
            <w:tcBorders/>
          </w:tcPr>
          <w:p>
            <w:pPr>
              <w:pStyle w:val="Normal"/>
              <w:snapToGrid w:val="false"/>
              <w:rPr>
                <w:sz w:val="20"/>
                <w:u w:val="single"/>
              </w:rPr>
            </w:pPr>
            <w:r>
              <w:rPr>
                <w:sz w:val="20"/>
                <w:u w:val="single"/>
              </w:rPr>
            </w:r>
          </w:p>
        </w:tc>
        <w:tc>
          <w:tcPr>
            <w:tcW w:w="900" w:type="dxa"/>
            <w:tcBorders/>
          </w:tcPr>
          <w:p>
            <w:pPr>
              <w:pStyle w:val="Normal"/>
              <w:snapToGrid w:val="false"/>
              <w:rPr>
                <w:sz w:val="20"/>
                <w:u w:val="single"/>
              </w:rPr>
            </w:pPr>
            <w:r>
              <w:rPr>
                <w:sz w:val="20"/>
                <w:u w:val="single"/>
              </w:rPr>
            </w:r>
          </w:p>
        </w:tc>
        <w:tc>
          <w:tcPr>
            <w:tcW w:w="7470" w:type="dxa"/>
            <w:tcBorders/>
          </w:tcPr>
          <w:p>
            <w:pPr>
              <w:pStyle w:val="Subject"/>
              <w:tabs>
                <w:tab w:val="left" w:pos="540" w:leader="none"/>
              </w:tabs>
              <w:snapToGrid w:val="false"/>
              <w:rPr>
                <w:sz w:val="20"/>
              </w:rPr>
            </w:pPr>
            <w:r>
              <w:rPr>
                <w:sz w:val="20"/>
              </w:rPr>
            </w:r>
          </w:p>
        </w:tc>
        <w:tc>
          <w:tcPr>
            <w:tcW w:w="6930" w:type="dxa"/>
            <w:tcBorders/>
          </w:tcPr>
          <w:p>
            <w:pPr>
              <w:pStyle w:val="Normal"/>
              <w:snapToGrid w:val="false"/>
              <w:rPr/>
            </w:pPr>
            <w:r>
              <w:rPr/>
            </w:r>
          </w:p>
        </w:tc>
        <w:tc>
          <w:tcPr>
            <w:tcW w:w="2924" w:type="dxa"/>
            <w:tcBorders/>
          </w:tcPr>
          <w:p>
            <w:pPr>
              <w:pStyle w:val="Normal"/>
              <w:snapToGrid w:val="false"/>
              <w:rPr/>
            </w:pPr>
            <w:r>
              <w:rPr/>
            </w:r>
          </w:p>
        </w:tc>
      </w:tr>
    </w:tbl>
    <w:p>
      <w:pPr>
        <w:pStyle w:val="Normal"/>
        <w:ind w:start="360" w:end="0"/>
        <w:rPr/>
      </w:pPr>
      <w:r>
        <w:rPr/>
      </w:r>
    </w:p>
    <w:sectPr>
      <w:headerReference w:type="default" r:id="rId3"/>
      <w:headerReference w:type="first" r:id="rId4"/>
      <w:footerReference w:type="default" r:id="rId5"/>
      <w:footerReference w:type="first" r:id="rId6"/>
      <w:type w:val="nextPage"/>
      <w:pgSz w:orient="landscape" w:w="15840" w:h="12240"/>
      <w:pgMar w:left="360" w:right="720" w:gutter="0" w:header="720" w:top="776" w:footer="360"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s>
      <w:jc w:val="end"/>
      <w:rPr/>
    </w:pPr>
    <w:r>
      <w:rPr/>
      <w:tab/>
      <w:t xml:space="preserve">Page </w:t>
    </w:r>
    <w:r>
      <w:rPr/>
      <w:fldChar w:fldCharType="begin"/>
    </w:r>
    <w:r>
      <w:rPr/>
      <w:instrText xml:space="preserve"> PAGE </w:instrText>
    </w:r>
    <w:r>
      <w:rPr/>
      <w:fldChar w:fldCharType="separate"/>
    </w:r>
    <w:r>
      <w:rPr/>
      <w:t>4</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1"/>
      <w:rPr/>
    </w:pPr>
    <w:r>
      <w:rPr/>
    </w:r>
    <w:r>
      <mc:AlternateContent>
        <mc:Choice Requires="wps">
          <w:drawing>
            <wp:anchor behindDoc="0" distT="0" distB="0" distL="118745" distR="118745" simplePos="0" locked="0" layoutInCell="0" allowOverlap="1" relativeHeight="6">
              <wp:simplePos x="0" y="0"/>
              <wp:positionH relativeFrom="page">
                <wp:posOffset>5534025</wp:posOffset>
              </wp:positionH>
              <wp:positionV relativeFrom="paragraph">
                <wp:posOffset>-227965</wp:posOffset>
              </wp:positionV>
              <wp:extent cx="3877310" cy="658495"/>
              <wp:effectExtent l="0" t="0" r="0" b="0"/>
              <wp:wrapSquare wrapText="bothSides"/>
              <wp:docPr id="2" name="Frame2"/>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Heading1"/>
                            <w:rPr/>
                          </w:pPr>
                          <w:r>
                            <w:rPr/>
                            <w:t>Interoffice</w:t>
                          </w:r>
                          <w:r>
                            <w:rPr>
                              <w:b/>
                              <w:sz w:val="32"/>
                            </w:rPr>
                            <w:t>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17.95pt;mso-position-vertical-relative:text;margin-left:435.75pt;mso-position-horizontal-relative:page">
              <v:fill opacity="0f"/>
              <v:textbox inset="0in,0in,0in,0in">
                <w:txbxContent>
                  <w:p>
                    <w:pPr>
                      <w:pStyle w:val="Heading1"/>
                      <w:rPr/>
                    </w:pPr>
                    <w:r>
                      <w:rPr/>
                      <w:t>Interoffice</w:t>
                    </w:r>
                    <w:r>
                      <w:rPr>
                        <w:b/>
                        <w:sz w:val="32"/>
                      </w:rPr>
                      <w:t>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80"/>
        </w:tabs>
        <w:ind w:start="780" w:hanging="360"/>
      </w:pPr>
      <w:rPr>
        <w:rFonts w:ascii="Symbol" w:hAnsi="Symbol" w:cs="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ind w:hanging="0" w:start="3600" w:end="-4695"/>
      <w:outlineLvl w:val="0"/>
    </w:pPr>
    <w:rPr>
      <w:b/>
      <w:sz w:val="32"/>
    </w:rPr>
  </w:style>
  <w:style w:type="paragraph" w:styleId="Heading2">
    <w:name w:val="heading 2"/>
    <w:basedOn w:val="Normal"/>
    <w:next w:val="Normal"/>
    <w:qFormat/>
    <w:pPr>
      <w:keepNext w:val="true"/>
      <w:numPr>
        <w:ilvl w:val="1"/>
        <w:numId w:val="1"/>
      </w:numPr>
      <w:ind w:hanging="450" w:start="0" w:end="4456"/>
      <w:outlineLvl w:val="1"/>
    </w:pPr>
    <w:rPr>
      <w:sz w:val="20"/>
      <w:u w:val="single"/>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style>
  <w:style w:type="character" w:styleId="WW8Num9z0">
    <w:name w:val="WW8Num9z0"/>
    <w:qFormat/>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6z0">
    <w:name w:val="WW8Num16z0"/>
    <w:qFormat/>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style>
  <w:style w:type="character" w:styleId="WW8Num21z0">
    <w:name w:val="WW8Num21z0"/>
    <w:qFormat/>
    <w:rPr>
      <w:rFonts w:ascii="Wingdings" w:hAnsi="Wingdings" w:cs="Wingdings"/>
    </w:rPr>
  </w:style>
  <w:style w:type="character" w:styleId="WW8Num21z1">
    <w:name w:val="WW8Num21z1"/>
    <w:qFormat/>
    <w:rPr>
      <w:rFonts w:ascii="Courier New" w:hAnsi="Courier New" w:cs="Courier New"/>
    </w:rPr>
  </w:style>
  <w:style w:type="character" w:styleId="WW8Num21z3">
    <w:name w:val="WW8Num21z3"/>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5z0">
    <w:name w:val="WW8Num25z0"/>
    <w:qFormat/>
    <w:rPr>
      <w:rFonts w:ascii="Symbol" w:hAnsi="Symbol" w:cs="Symbol"/>
    </w:rPr>
  </w:style>
  <w:style w:type="character" w:styleId="WW8Num26z0">
    <w:name w:val="WW8Num26z0"/>
    <w:qFormat/>
    <w:rPr/>
  </w:style>
  <w:style w:type="character" w:styleId="WW8Num27z0">
    <w:name w:val="WW8Num27z0"/>
    <w:qFormat/>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FootnoteText">
    <w:name w:val="footnote text"/>
    <w:basedOn w:val="Normal"/>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Template>
  <TotalTime>150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2001-10-15T18:59:00Z</dcterms:created>
  <dc:creator>Jeff Ford</dc:creator>
  <dc:description/>
  <dc:language>en-CA</dc:language>
  <cp:lastModifiedBy>Ned Crady</cp:lastModifiedBy>
  <cp:lastPrinted>2001-10-16T14:07:00Z</cp:lastPrinted>
  <dcterms:modified xsi:type="dcterms:W3CDTF">2001-10-16T19:56:00Z</dcterms:modified>
  <cp:revision>11</cp:revision>
  <dc:subject>Potential Direct Liabilites Associated with a Minority Ownership Interest in Black Mountain Development LLC </dc:subject>
  <dc:title>Eron Capital &amp; Trade Resources Memo</dc:title>
</cp:coreProperties>
</file>