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i/>
          <w:i/>
          <w:sz w:val="28"/>
        </w:rPr>
      </w:pPr>
      <w:r>
        <w:rPr>
          <w:i/>
          <w:sz w:val="28"/>
        </w:rPr>
        <w:t>Swidler Berlin Shereff Friedman LLP</w:t>
      </w:r>
    </w:p>
    <w:p>
      <w:pPr>
        <w:pStyle w:val="Heading"/>
        <w:rPr>
          <w:i/>
          <w:i/>
          <w:sz w:val="28"/>
        </w:rPr>
      </w:pPr>
      <w:r>
        <w:rPr>
          <w:i/>
          <w:sz w:val="28"/>
        </w:rPr>
      </w:r>
    </w:p>
    <w:p>
      <w:pPr>
        <w:pStyle w:val="Heading"/>
        <w:rPr>
          <w:i/>
          <w:i/>
          <w:sz w:val="28"/>
        </w:rPr>
      </w:pPr>
      <w:r>
        <w:rPr>
          <w:i/>
          <w:sz w:val="28"/>
        </w:rPr>
      </w:r>
    </w:p>
    <w:p>
      <w:pPr>
        <w:pStyle w:val="Heading"/>
        <w:rPr>
          <w:i/>
          <w:i/>
          <w:sz w:val="28"/>
        </w:rPr>
      </w:pPr>
      <w:r>
        <w:rPr>
          <w:i/>
          <w:sz w:val="28"/>
        </w:rPr>
        <w:t>Privileged and Confidential</w:t>
      </w:r>
    </w:p>
    <w:p>
      <w:pPr>
        <w:pStyle w:val="Heading"/>
        <w:rPr>
          <w:i/>
          <w:i/>
          <w:sz w:val="28"/>
        </w:rPr>
      </w:pPr>
      <w:r>
        <w:rPr>
          <w:i/>
          <w:sz w:val="28"/>
        </w:rPr>
        <w:t>Attorney Work Product</w:t>
      </w:r>
    </w:p>
    <w:p>
      <w:pPr>
        <w:pStyle w:val="Heading"/>
        <w:rPr>
          <w:i/>
          <w:i/>
          <w:sz w:val="28"/>
        </w:rPr>
      </w:pPr>
      <w:r>
        <w:rPr>
          <w:i/>
          <w:sz w:val="28"/>
        </w:rPr>
      </w:r>
    </w:p>
    <w:p>
      <w:pPr>
        <w:pStyle w:val="Heading"/>
        <w:rPr/>
      </w:pPr>
      <w:r>
        <w:rPr/>
      </w:r>
    </w:p>
    <w:p>
      <w:pPr>
        <w:pStyle w:val="Heading"/>
        <w:rPr/>
      </w:pPr>
      <w:r>
        <w:rPr/>
        <w:t>MEMORANDUM</w:t>
      </w:r>
    </w:p>
    <w:p>
      <w:pPr>
        <w:pStyle w:val="Normal"/>
        <w:jc w:val="center"/>
        <w:rPr>
          <w:b/>
          <w:sz w:val="24"/>
        </w:rPr>
      </w:pPr>
      <w:r>
        <w:rPr>
          <w:b/>
          <w:sz w:val="24"/>
        </w:rPr>
      </w:r>
    </w:p>
    <w:p>
      <w:pPr>
        <w:pStyle w:val="Normal"/>
        <w:rPr>
          <w:b/>
          <w:sz w:val="24"/>
        </w:rPr>
      </w:pPr>
      <w:r>
        <w:rPr>
          <w:b/>
          <w:sz w:val="24"/>
        </w:rPr>
        <w:t xml:space="preserve">To: </w:t>
        <w:tab/>
        <w:tab/>
        <w:t>Michael Levy</w:t>
      </w:r>
    </w:p>
    <w:p>
      <w:pPr>
        <w:pStyle w:val="Normal"/>
        <w:rPr>
          <w:b/>
          <w:sz w:val="24"/>
        </w:rPr>
      </w:pPr>
      <w:r>
        <w:rPr>
          <w:b/>
          <w:sz w:val="24"/>
        </w:rPr>
      </w:r>
    </w:p>
    <w:p>
      <w:pPr>
        <w:pStyle w:val="Normal"/>
        <w:rPr>
          <w:b/>
          <w:sz w:val="24"/>
        </w:rPr>
      </w:pPr>
      <w:r>
        <w:rPr>
          <w:b/>
          <w:sz w:val="24"/>
        </w:rPr>
        <w:t>Fr:</w:t>
        <w:tab/>
        <w:tab/>
        <w:t>James DeLorenzo</w:t>
      </w:r>
    </w:p>
    <w:p>
      <w:pPr>
        <w:pStyle w:val="Normal"/>
        <w:rPr>
          <w:b/>
          <w:sz w:val="24"/>
        </w:rPr>
      </w:pPr>
      <w:r>
        <w:rPr>
          <w:b/>
          <w:sz w:val="24"/>
        </w:rPr>
      </w:r>
    </w:p>
    <w:p>
      <w:pPr>
        <w:pStyle w:val="Normal"/>
        <w:rPr>
          <w:b/>
          <w:sz w:val="24"/>
        </w:rPr>
      </w:pPr>
      <w:r>
        <w:rPr>
          <w:b/>
          <w:sz w:val="24"/>
        </w:rPr>
        <w:t>Date:</w:t>
        <w:tab/>
        <w:tab/>
        <w:t>January 11, 2002</w:t>
      </w:r>
    </w:p>
    <w:p>
      <w:pPr>
        <w:pStyle w:val="Normal"/>
        <w:rPr>
          <w:b/>
          <w:sz w:val="24"/>
        </w:rPr>
      </w:pPr>
      <w:r>
        <w:rPr>
          <w:b/>
          <w:sz w:val="24"/>
        </w:rPr>
      </w:r>
    </w:p>
    <w:p>
      <w:pPr>
        <w:pStyle w:val="Heading1"/>
        <w:ind w:hanging="0" w:start="0"/>
        <w:rPr/>
      </w:pPr>
      <w:r>
        <w:rPr/>
        <w:t xml:space="preserve">Re: </w:t>
        <w:tab/>
        <w:tab/>
        <w:t>Update on Congressional Oversight of Enron Bankruptcy Issues</w:t>
      </w:r>
    </w:p>
    <w:p>
      <w:pPr>
        <w:pStyle w:val="Normal"/>
        <w:pBdr>
          <w:bottom w:val="single" w:sz="6" w:space="1" w:color="000000"/>
        </w:pBdr>
        <w:rPr>
          <w:b/>
          <w:sz w:val="24"/>
        </w:rPr>
      </w:pPr>
      <w:r>
        <w:rPr>
          <w:b/>
          <w:sz w:val="24"/>
        </w:rPr>
      </w:r>
    </w:p>
    <w:p>
      <w:pPr>
        <w:pStyle w:val="Normal"/>
        <w:rPr>
          <w:b/>
          <w:sz w:val="24"/>
        </w:rPr>
      </w:pPr>
      <w:r>
        <w:rPr>
          <w:b/>
          <w:sz w:val="24"/>
        </w:rPr>
      </w:r>
    </w:p>
    <w:p>
      <w:pPr>
        <w:pStyle w:val="Heading1"/>
        <w:numPr>
          <w:ilvl w:val="0"/>
          <w:numId w:val="13"/>
        </w:numPr>
        <w:rPr/>
      </w:pPr>
      <w:r>
        <w:rPr/>
        <w:t xml:space="preserve">Introduction </w:t>
      </w:r>
    </w:p>
    <w:p>
      <w:pPr>
        <w:pStyle w:val="Normal"/>
        <w:rPr>
          <w:sz w:val="24"/>
        </w:rPr>
      </w:pPr>
      <w:r>
        <w:rPr>
          <w:sz w:val="24"/>
        </w:rPr>
      </w:r>
    </w:p>
    <w:p>
      <w:pPr>
        <w:pStyle w:val="Normal"/>
        <w:ind w:firstLine="720" w:end="0"/>
        <w:rPr>
          <w:sz w:val="24"/>
        </w:rPr>
      </w:pPr>
      <w:r>
        <w:rPr>
          <w:sz w:val="24"/>
        </w:rPr>
        <w:t xml:space="preserve">This memorandum is meant to provide a brief description of the various congressional inquiries into the Enron bankruptcy.  For your convenience, we also have attached a chart that lists the current congressional schedule for Enron-related hearings.  As is obvious, congressional interest in the Enron bankruptcy is quite intense at this time. </w:t>
      </w:r>
    </w:p>
    <w:p>
      <w:pPr>
        <w:pStyle w:val="Normal"/>
        <w:rPr>
          <w:sz w:val="24"/>
        </w:rPr>
      </w:pPr>
      <w:r>
        <w:rPr>
          <w:sz w:val="24"/>
        </w:rPr>
      </w:r>
    </w:p>
    <w:p>
      <w:pPr>
        <w:pStyle w:val="Heading1"/>
        <w:numPr>
          <w:ilvl w:val="0"/>
          <w:numId w:val="13"/>
        </w:numPr>
        <w:rPr/>
      </w:pPr>
      <w:r>
        <w:rPr/>
        <w:t xml:space="preserve">U.S. House of Representatives </w:t>
      </w:r>
    </w:p>
    <w:p>
      <w:pPr>
        <w:pStyle w:val="Normal"/>
        <w:rPr>
          <w:sz w:val="24"/>
        </w:rPr>
      </w:pPr>
      <w:r>
        <w:rPr>
          <w:sz w:val="24"/>
        </w:rPr>
      </w:r>
    </w:p>
    <w:p>
      <w:pPr>
        <w:pStyle w:val="Heading5"/>
        <w:numPr>
          <w:ilvl w:val="0"/>
          <w:numId w:val="8"/>
        </w:numPr>
        <w:ind w:hanging="0" w:start="0"/>
        <w:rPr/>
      </w:pPr>
      <w:r>
        <w:rPr/>
        <w:t>House Energy and Commerce Committee</w:t>
      </w:r>
    </w:p>
    <w:p>
      <w:pPr>
        <w:pStyle w:val="Normal"/>
        <w:rPr>
          <w:sz w:val="24"/>
        </w:rPr>
      </w:pPr>
      <w:r>
        <w:rPr>
          <w:sz w:val="24"/>
        </w:rPr>
      </w:r>
    </w:p>
    <w:p>
      <w:pPr>
        <w:pStyle w:val="Normal"/>
        <w:ind w:firstLine="720" w:end="0"/>
        <w:rPr/>
      </w:pPr>
      <w:r>
        <w:rPr>
          <w:sz w:val="24"/>
        </w:rPr>
        <w:t>House Energy and Commerce Committee Chairman Billy Tauzin (R-LA) has continued to push for a hearing on Enron-related issues.  According to Tauzin’s spokesman, the hearing, which likely would be held in the committee’s Oversight and Investigation Subcommittee, may occur as soon as late January or early February.  Regarding the hearing’s scope, sources have indicated privately that the committee’s hearing will focus on the fact that the free market system functioned properly (</w:t>
      </w:r>
      <w:r>
        <w:rPr>
          <w:i/>
          <w:sz w:val="24"/>
        </w:rPr>
        <w:t>i.e.,</w:t>
      </w:r>
      <w:r>
        <w:rPr>
          <w:sz w:val="24"/>
        </w:rPr>
        <w:t xml:space="preserve"> despite the Enron bankruptcy, energy prices did not rise and consumers did not lose service).  The committee will stress the need, however, for a more transparent accounting process that protects the rights of investors.    It also should be noted that, in commenting on reports that Andersen LLP had destroyed documents related to its audit of Enron, Chairman Tauzin said, “anyone who destroyed records intentionally to subvert our investigation should be prosecuted.”</w:t>
      </w:r>
    </w:p>
    <w:p>
      <w:pPr>
        <w:pStyle w:val="Normal"/>
        <w:ind w:firstLine="720" w:end="0"/>
        <w:rPr>
          <w:sz w:val="24"/>
        </w:rPr>
      </w:pPr>
      <w:r>
        <w:rPr>
          <w:sz w:val="24"/>
        </w:rPr>
      </w:r>
    </w:p>
    <w:p>
      <w:pPr>
        <w:pStyle w:val="Normal"/>
        <w:ind w:firstLine="720" w:end="0"/>
        <w:rPr>
          <w:sz w:val="24"/>
        </w:rPr>
      </w:pPr>
      <w:r>
        <w:rPr>
          <w:sz w:val="24"/>
        </w:rPr>
        <w:t xml:space="preserve">Ranking Energy and Commerce Committee member John Dingell (D-MI) and committee Democratic members Ed Markey (D-MA) and Henry Waxman (D-CA) also have been outspoken on the need for Enron-related hearings.  Moreover, in addition to pushing a Energy and Commerce Committee investigation, Dingell has called for an Office of Pipeline Safety (OPS) investigation into Enron’s natural gas facilities and the business practices of the companies that manage these facilities, and written to SEC Commissioner Pitt to request that the SEC conduct a “vigorous” investigation of the Enron matter.  </w:t>
      </w:r>
    </w:p>
    <w:p>
      <w:pPr>
        <w:pStyle w:val="Normal"/>
        <w:ind w:firstLine="720" w:end="0"/>
        <w:rPr>
          <w:sz w:val="24"/>
        </w:rPr>
      </w:pPr>
      <w:r>
        <w:rPr>
          <w:sz w:val="24"/>
        </w:rPr>
      </w:r>
    </w:p>
    <w:p>
      <w:pPr>
        <w:pStyle w:val="Normal"/>
        <w:ind w:firstLine="720" w:end="0"/>
        <w:rPr>
          <w:sz w:val="24"/>
        </w:rPr>
      </w:pPr>
      <w:r>
        <w:rPr>
          <w:sz w:val="24"/>
        </w:rPr>
        <w:t>Further, at a December 12, 2001, Energy and Commerce Committee Energy and Air Quality Subcommittee hearing on an electricity legislative proposal, Representative Markey stated that the Enron bankruptcy was the result of “greed and ambition” that could have been avoided had Enron been subject to “greater regulatory oversight.”  Representative Waxman, who long has opposed energy deregulation, has written several letters to Vice President Cheney regarding the Administration’s ties to Enron and has initiated an investigation in the House Government Reform Committee.  (See below for a more detailed discussion of Representative Waxman’s activities and interest.)</w:t>
      </w:r>
    </w:p>
    <w:p>
      <w:pPr>
        <w:pStyle w:val="Normal"/>
        <w:rPr>
          <w:sz w:val="24"/>
        </w:rPr>
      </w:pPr>
      <w:r>
        <w:rPr>
          <w:sz w:val="24"/>
        </w:rPr>
      </w:r>
    </w:p>
    <w:p>
      <w:pPr>
        <w:pStyle w:val="Normal"/>
        <w:ind w:firstLine="720" w:end="0"/>
        <w:rPr>
          <w:sz w:val="24"/>
        </w:rPr>
      </w:pPr>
      <w:r>
        <w:rPr>
          <w:sz w:val="24"/>
        </w:rPr>
        <w:t xml:space="preserve">Finally, according to his senior staff, Energy and Commerce Committee Energy and Air Quality Subcommittee Chairman Joe Barton (R-TX) currently is not interested in examining the Enron bankruptcy and unlikely to hold a hearing on it in the near future unless directed to do so by Chairman Tauzin.  </w:t>
      </w:r>
    </w:p>
    <w:p>
      <w:pPr>
        <w:pStyle w:val="Normal"/>
        <w:ind w:firstLine="720" w:end="0"/>
        <w:rPr>
          <w:sz w:val="24"/>
        </w:rPr>
      </w:pPr>
      <w:r>
        <w:rPr>
          <w:sz w:val="24"/>
        </w:rPr>
      </w:r>
    </w:p>
    <w:p>
      <w:pPr>
        <w:pStyle w:val="Normal"/>
        <w:numPr>
          <w:ilvl w:val="0"/>
          <w:numId w:val="8"/>
        </w:numPr>
        <w:rPr>
          <w:b/>
          <w:sz w:val="24"/>
        </w:rPr>
      </w:pPr>
      <w:r>
        <w:rPr>
          <w:b/>
          <w:sz w:val="24"/>
        </w:rPr>
        <w:t>House Financial Services Committee</w:t>
      </w:r>
    </w:p>
    <w:p>
      <w:pPr>
        <w:pStyle w:val="Normal"/>
        <w:rPr>
          <w:b/>
          <w:sz w:val="24"/>
        </w:rPr>
      </w:pPr>
      <w:r>
        <w:rPr>
          <w:b/>
          <w:sz w:val="24"/>
        </w:rPr>
      </w:r>
    </w:p>
    <w:p>
      <w:pPr>
        <w:pStyle w:val="Normal"/>
        <w:ind w:firstLine="720" w:end="0"/>
        <w:rPr>
          <w:b/>
          <w:sz w:val="24"/>
        </w:rPr>
      </w:pPr>
      <w:r>
        <w:rPr>
          <w:sz w:val="24"/>
        </w:rPr>
        <w:t>The House Financial Services Committee, through its Oversight and Investigation and Capital Markets Subcommittees, held a hearing on the Enron Bankruptcy on December 12, 2001.  In general, Republicans at the hearing, including Financial Services Committee Chairman Michael Oxley (R-OH) and Capital Markets Subcommittee Chairman Richard Baker (R-LA), focused primarily on current accounting rules and changes to these rules that might help prevent a future situation similar to the Enron bankruptcy.  In contrast, several Democrats, such as Paul Kanjorski (D-PA) and Luis Gutierrez (D-IL), were more critical of Enron’s activities and the company’s ties to the Bush Administration.  Chairman Baker worked throughout the hearing, however, to deflect criticism away from Enron and its executives.  According to committee staff, the committee will hold another hearing on February 4</w:t>
      </w:r>
      <w:r>
        <w:rPr>
          <w:sz w:val="24"/>
          <w:vertAlign w:val="superscript"/>
        </w:rPr>
        <w:t>th</w:t>
      </w:r>
      <w:r>
        <w:rPr>
          <w:sz w:val="24"/>
        </w:rPr>
        <w:t xml:space="preserve"> at which Ken Lay will be asked to testify.</w:t>
      </w:r>
    </w:p>
    <w:p>
      <w:pPr>
        <w:pStyle w:val="Normal"/>
        <w:rPr>
          <w:b/>
          <w:sz w:val="24"/>
        </w:rPr>
      </w:pPr>
      <w:r>
        <w:rPr>
          <w:b/>
          <w:sz w:val="24"/>
        </w:rPr>
      </w:r>
    </w:p>
    <w:p>
      <w:pPr>
        <w:pStyle w:val="Heading5"/>
        <w:numPr>
          <w:ilvl w:val="0"/>
          <w:numId w:val="8"/>
        </w:numPr>
        <w:ind w:hanging="0" w:start="0"/>
        <w:rPr/>
      </w:pPr>
      <w:r>
        <w:rPr/>
        <w:t>House Education and the Workforce Committee</w:t>
      </w:r>
    </w:p>
    <w:p>
      <w:pPr>
        <w:pStyle w:val="Normal"/>
        <w:rPr>
          <w:sz w:val="24"/>
        </w:rPr>
      </w:pPr>
      <w:r>
        <w:rPr>
          <w:sz w:val="24"/>
        </w:rPr>
      </w:r>
    </w:p>
    <w:p>
      <w:pPr>
        <w:pStyle w:val="Normal"/>
        <w:ind w:firstLine="720" w:end="0"/>
        <w:rPr>
          <w:sz w:val="24"/>
        </w:rPr>
      </w:pPr>
      <w:r>
        <w:rPr>
          <w:sz w:val="24"/>
        </w:rPr>
        <w:t xml:space="preserve">On December 12, 2001, House Education and the Workforce Committee Chairman John Boehner (R-OH) submitted a statement to the House Financial Services Committee regarding the Enron bankruptcy.  According to Chairman Boehner, the Education and Workforce Committee, which has jurisdiction over employee stock ownership plans, will examine the Enron pension issue sometime this quarter.  </w:t>
      </w:r>
    </w:p>
    <w:p>
      <w:pPr>
        <w:pStyle w:val="Normal"/>
        <w:rPr>
          <w:sz w:val="24"/>
        </w:rPr>
      </w:pPr>
      <w:r>
        <w:rPr>
          <w:sz w:val="24"/>
        </w:rPr>
      </w:r>
    </w:p>
    <w:p>
      <w:pPr>
        <w:pStyle w:val="Heading5"/>
        <w:numPr>
          <w:ilvl w:val="0"/>
          <w:numId w:val="8"/>
        </w:numPr>
        <w:ind w:hanging="0" w:start="0"/>
        <w:rPr/>
      </w:pPr>
      <w:r>
        <w:rPr/>
        <w:t>House Government Reform Committee</w:t>
      </w:r>
    </w:p>
    <w:p>
      <w:pPr>
        <w:pStyle w:val="Normal"/>
        <w:rPr>
          <w:sz w:val="24"/>
        </w:rPr>
      </w:pPr>
      <w:r>
        <w:rPr>
          <w:sz w:val="24"/>
        </w:rPr>
      </w:r>
    </w:p>
    <w:p>
      <w:pPr>
        <w:pStyle w:val="BodyTextIndent"/>
        <w:rPr/>
      </w:pPr>
      <w:r>
        <w:rPr/>
        <w:t>The House Government Reform Committee has not yet indicated that it will pursue an Enron-related hearing.  Nevertheless, Ranking Minority Member Henry Waxman (D-CA) continues to push for a broad investigation into the Enron bankruptcy and the Bush Administration’s ties with the company.  First, according to Waxman, the “Special Investigations Division of the committee's minority staff is investigating allegations of misconduct at Enron Corp., including fraud, mismanagement, self-dealing, and improper political activities.”  In connection with this investigation, Waxman’s web site now contains an “Enron Tip Line” link that allows site visitors to provide relevant information.</w:t>
      </w:r>
    </w:p>
    <w:p>
      <w:pPr>
        <w:pStyle w:val="Normal"/>
        <w:rPr>
          <w:sz w:val="24"/>
        </w:rPr>
      </w:pPr>
      <w:r>
        <w:rPr>
          <w:sz w:val="24"/>
        </w:rPr>
      </w:r>
    </w:p>
    <w:p>
      <w:pPr>
        <w:pStyle w:val="Normal"/>
        <w:ind w:firstLine="720" w:end="0"/>
        <w:rPr>
          <w:sz w:val="24"/>
        </w:rPr>
      </w:pPr>
      <w:r>
        <w:rPr>
          <w:sz w:val="24"/>
        </w:rPr>
        <w:t xml:space="preserve">Further, Representative Waxman sent a letter to Vice President Cheney on December 4, 2001, in which Waxman questioned whether Enron executives had improperly influenced the Administration’s energy policy to serve Enron’s needs.  On January 3, 2002, Vice President Cheney’s counsel, David Addington, responded to Waxman by noting the meetings between the Vice President and Enron executives.  Representative Waxman sent an additional letter to the Vice President on January 8, 2002, in which Waxman again criticized the fact that the Administration met numerous times with Enron executives to discuss energy policy issues, while not providing other groups this same level of access.  Waxman also criticized Addington’s letter for not providing more details regarding the substance of the meetings between Enron executives and Administration officials and again requested that Cheney provide such information.  </w:t>
      </w:r>
    </w:p>
    <w:p>
      <w:pPr>
        <w:pStyle w:val="Normal"/>
        <w:rPr>
          <w:sz w:val="24"/>
        </w:rPr>
      </w:pPr>
      <w:r>
        <w:rPr>
          <w:sz w:val="24"/>
        </w:rPr>
      </w:r>
    </w:p>
    <w:p>
      <w:pPr>
        <w:pStyle w:val="BodyText"/>
        <w:rPr/>
      </w:pPr>
      <w:r>
        <w:rPr/>
        <w:tab/>
        <w:t xml:space="preserve">Given the committee’s minority investigation and Waxman’s correspondence with Vice President Cheney, it appears that Waxman will continue to push for a Government Reform Committee hearing. Waxman’s ability to leverage his activities into a Government Reform Committee hearing remains an open question considering committee Chairman Dan </w:t>
      </w:r>
    </w:p>
    <w:p>
      <w:pPr>
        <w:pStyle w:val="BodyText"/>
        <w:rPr/>
      </w:pPr>
      <w:r>
        <w:rPr/>
        <w:t xml:space="preserve">Burton’s (R-IN) apparent reluctance to hold hearings.  </w:t>
      </w:r>
    </w:p>
    <w:p>
      <w:pPr>
        <w:pStyle w:val="Heading1"/>
        <w:ind w:hanging="0" w:start="0"/>
        <w:rPr>
          <w:b w:val="false"/>
        </w:rPr>
      </w:pPr>
      <w:r>
        <w:rPr>
          <w:b w:val="false"/>
        </w:rPr>
      </w:r>
    </w:p>
    <w:p>
      <w:pPr>
        <w:pStyle w:val="Normal"/>
        <w:rPr/>
      </w:pPr>
      <w:r>
        <w:rPr>
          <w:b/>
          <w:sz w:val="24"/>
        </w:rPr>
        <w:t>III.</w:t>
        <w:tab/>
        <w:t>U.S. Senate</w:t>
      </w:r>
      <w:r>
        <w:rPr>
          <w:sz w:val="24"/>
        </w:rPr>
        <w:t xml:space="preserve"> </w:t>
      </w:r>
    </w:p>
    <w:p>
      <w:pPr>
        <w:pStyle w:val="Normal"/>
        <w:rPr>
          <w:b/>
          <w:sz w:val="24"/>
        </w:rPr>
      </w:pPr>
      <w:r>
        <w:rPr>
          <w:b/>
          <w:sz w:val="24"/>
        </w:rPr>
      </w:r>
    </w:p>
    <w:p>
      <w:pPr>
        <w:pStyle w:val="Heading5"/>
        <w:numPr>
          <w:ilvl w:val="0"/>
          <w:numId w:val="2"/>
        </w:numPr>
        <w:rPr/>
      </w:pPr>
      <w:r>
        <w:rPr/>
        <w:t>Senate Commerce Committee</w:t>
      </w:r>
    </w:p>
    <w:p>
      <w:pPr>
        <w:pStyle w:val="Normal"/>
        <w:rPr>
          <w:sz w:val="24"/>
        </w:rPr>
      </w:pPr>
      <w:r>
        <w:rPr>
          <w:sz w:val="24"/>
        </w:rPr>
      </w:r>
    </w:p>
    <w:p>
      <w:pPr>
        <w:pStyle w:val="BodyTextIndent"/>
        <w:rPr/>
      </w:pPr>
      <w:r>
        <w:rPr/>
        <w:t xml:space="preserve">The Senate Commerce Committee held a hearing December 18, 2001, on the Enron bankruptcy that featured the testimony of several Enron employee stockholders.  At the hearing, Senator Byron Dorgan (D-ND) stated that the Commerce Committee would hold a second hearing on February 4, 2002, at which time Ken Lay is expected to testify.  During the hearing, Senator Dorgan was the most damning of Enron. </w:t>
      </w:r>
    </w:p>
    <w:p>
      <w:pPr>
        <w:pStyle w:val="Normal"/>
        <w:ind w:firstLine="720" w:end="0"/>
        <w:rPr>
          <w:sz w:val="24"/>
        </w:rPr>
      </w:pPr>
      <w:r>
        <w:rPr>
          <w:sz w:val="24"/>
        </w:rPr>
      </w:r>
    </w:p>
    <w:p>
      <w:pPr>
        <w:pStyle w:val="Normal"/>
        <w:ind w:firstLine="720" w:end="0"/>
        <w:rPr/>
      </w:pPr>
      <w:r>
        <w:rPr>
          <w:sz w:val="24"/>
        </w:rPr>
        <w:t>Commerce Committee member Barbara Boxer (D-CA) alleged at the hearing that Enron violated a 1997 law Boxer authored</w:t>
      </w:r>
      <w:r>
        <w:rPr>
          <w:rStyle w:val="FootnoteCharacters"/>
          <w:rStyle w:val="FootnoteReference"/>
          <w:sz w:val="24"/>
        </w:rPr>
        <w:footnoteReference w:id="2"/>
      </w:r>
      <w:r>
        <w:rPr>
          <w:sz w:val="24"/>
        </w:rPr>
        <w:t xml:space="preserve"> that prevents a company from forcing its employees to purchase company stock with the employee’s contribution.  According to Boxer, Enron violated the law, which was part of the Taxpayer Relief Act of 1997, when it prevented its employees from selling Enron stock in late 2001.  Boxer also said that if Enron did, in fact, violate the 1997 law, the company would forfeit the tax advantages it received by providing Enron employees company stock through the Enron 401(k) plan.  As such, Boxer has written to the IRS asking for an investigation into the situation.  </w:t>
      </w:r>
    </w:p>
    <w:p>
      <w:pPr>
        <w:pStyle w:val="Normal"/>
        <w:ind w:firstLine="720" w:end="0"/>
        <w:rPr>
          <w:sz w:val="24"/>
        </w:rPr>
      </w:pPr>
      <w:r>
        <w:rPr>
          <w:sz w:val="24"/>
        </w:rPr>
      </w:r>
    </w:p>
    <w:p>
      <w:pPr>
        <w:pStyle w:val="Normal"/>
        <w:ind w:firstLine="720" w:end="0"/>
        <w:rPr>
          <w:sz w:val="24"/>
        </w:rPr>
      </w:pPr>
      <w:r>
        <w:rPr>
          <w:sz w:val="24"/>
        </w:rPr>
        <w:t xml:space="preserve">Also, on December 18, 2001, Senator Boxer and Senate Banking Committee member Jon Corzine (D-NJ) introduced the “Boxer-Corzine Pension Protection and Diversification Act of 2001.”  At the press conference to introduce the bill, Senator Boxer reiterated her stance on Enron and stated that the Boxer-Corzine bill was meant to prevent a future Enron-type pension crisis.  In general, the bill would force more diversification in employee pension plans and allow employees greater freedom to divest their holdings.  </w:t>
      </w:r>
    </w:p>
    <w:p>
      <w:pPr>
        <w:pStyle w:val="Normal"/>
        <w:ind w:firstLine="720" w:end="0"/>
        <w:rPr>
          <w:sz w:val="24"/>
        </w:rPr>
      </w:pPr>
      <w:r>
        <w:rPr>
          <w:sz w:val="24"/>
        </w:rPr>
      </w:r>
    </w:p>
    <w:p>
      <w:pPr>
        <w:pStyle w:val="Normal"/>
        <w:ind w:firstLine="720" w:end="0"/>
        <w:rPr/>
      </w:pPr>
      <w:r>
        <w:rPr>
          <w:sz w:val="24"/>
        </w:rPr>
        <w:t>While not as critical towards Enron as Senators Dorgan or Boxer during the December 18</w:t>
      </w:r>
      <w:r>
        <w:rPr>
          <w:sz w:val="24"/>
          <w:vertAlign w:val="superscript"/>
        </w:rPr>
        <w:t>th</w:t>
      </w:r>
      <w:r>
        <w:rPr>
          <w:sz w:val="24"/>
        </w:rPr>
        <w:t xml:space="preserve"> hearing, Commerce Committee Chairman Ernest Hollings (D-SC) did resolve to hold a second Enron hearing in an attempt to uncover exactly what led to the bankruptcy.  </w:t>
      </w:r>
    </w:p>
    <w:p>
      <w:pPr>
        <w:pStyle w:val="Normal"/>
        <w:rPr>
          <w:sz w:val="24"/>
        </w:rPr>
      </w:pPr>
      <w:r>
        <w:rPr>
          <w:sz w:val="24"/>
        </w:rPr>
      </w:r>
    </w:p>
    <w:p>
      <w:pPr>
        <w:pStyle w:val="Heading5"/>
        <w:numPr>
          <w:ilvl w:val="0"/>
          <w:numId w:val="2"/>
        </w:numPr>
        <w:rPr/>
      </w:pPr>
      <w:r>
        <w:rPr/>
        <w:t>Senate Energy Committee</w:t>
      </w:r>
    </w:p>
    <w:p>
      <w:pPr>
        <w:pStyle w:val="Normal"/>
        <w:rPr>
          <w:sz w:val="24"/>
        </w:rPr>
      </w:pPr>
      <w:r>
        <w:rPr>
          <w:sz w:val="24"/>
        </w:rPr>
      </w:r>
    </w:p>
    <w:p>
      <w:pPr>
        <w:pStyle w:val="Normal"/>
        <w:ind w:firstLine="720" w:end="0"/>
        <w:rPr>
          <w:sz w:val="24"/>
        </w:rPr>
      </w:pPr>
      <w:r>
        <w:rPr>
          <w:sz w:val="24"/>
        </w:rPr>
        <w:t xml:space="preserve">On November 29, 2001, prior to Enron’s bankruptcy, Senate Energy Committee Chairman Jeff Bingaman (D-NM) commented on the company’s difficulties at that time.  According to Chairman Bingaman, the Enron situation demonstrated the need for data transparency and competition in the natural gas and electricity markets.  Bingaman also stated that he had directed his staff to begin preparing for a hearing on these issues.  </w:t>
      </w:r>
    </w:p>
    <w:p>
      <w:pPr>
        <w:pStyle w:val="Normal"/>
        <w:ind w:firstLine="720" w:end="0"/>
        <w:rPr>
          <w:sz w:val="24"/>
        </w:rPr>
      </w:pPr>
      <w:r>
        <w:rPr>
          <w:sz w:val="24"/>
        </w:rPr>
      </w:r>
    </w:p>
    <w:p>
      <w:pPr>
        <w:pStyle w:val="Normal"/>
        <w:ind w:firstLine="720" w:end="0"/>
        <w:rPr>
          <w:sz w:val="24"/>
        </w:rPr>
      </w:pPr>
      <w:r>
        <w:rPr>
          <w:sz w:val="24"/>
        </w:rPr>
        <w:t xml:space="preserve">The Senate Energy Committee staff has indicated that Bingaman will hold a general energy competitiveness hearing in late January or early February that will touch on Enron-related issues, as opposed to an Enron-specific hearing.  The hearing will focus on potential defects in the energy market, the need for data transparency, and the potential for an Enron-similar situation occurring in the future.  </w:t>
      </w:r>
    </w:p>
    <w:p>
      <w:pPr>
        <w:pStyle w:val="Normal"/>
        <w:ind w:firstLine="720" w:end="0"/>
        <w:rPr>
          <w:sz w:val="24"/>
        </w:rPr>
      </w:pPr>
      <w:r>
        <w:rPr>
          <w:sz w:val="24"/>
        </w:rPr>
      </w:r>
    </w:p>
    <w:p>
      <w:pPr>
        <w:pStyle w:val="Normal"/>
        <w:ind w:firstLine="720" w:end="0"/>
        <w:rPr>
          <w:b/>
          <w:sz w:val="24"/>
        </w:rPr>
      </w:pPr>
      <w:r>
        <w:rPr>
          <w:sz w:val="24"/>
        </w:rPr>
        <w:t xml:space="preserve">Since Chairman Bingaman currently is focusing on the passage of his comprehensive energy bill, he may be reluctant to descend into an extended Enron investigation if doing so would seriously distract him and the committee from the pursuit of his energy bill.  As such, there is the possibility that the Senate Energy Committee, under Chairman Bingaman’s stewardship, may not play a very active role in the Enron debate.  </w:t>
      </w:r>
    </w:p>
    <w:p>
      <w:pPr>
        <w:pStyle w:val="Normal"/>
        <w:rPr>
          <w:b/>
          <w:sz w:val="24"/>
        </w:rPr>
      </w:pPr>
      <w:r>
        <w:rPr>
          <w:b/>
          <w:sz w:val="24"/>
        </w:rPr>
      </w:r>
    </w:p>
    <w:p>
      <w:pPr>
        <w:pStyle w:val="Heading5"/>
        <w:numPr>
          <w:ilvl w:val="0"/>
          <w:numId w:val="2"/>
        </w:numPr>
        <w:rPr/>
      </w:pPr>
      <w:r>
        <w:rPr/>
        <w:t>Senate Government Affairs Committee</w:t>
      </w:r>
    </w:p>
    <w:p>
      <w:pPr>
        <w:pStyle w:val="Normal"/>
        <w:ind w:start="720" w:end="0"/>
        <w:rPr>
          <w:sz w:val="24"/>
        </w:rPr>
      </w:pPr>
      <w:r>
        <w:rPr>
          <w:sz w:val="24"/>
        </w:rPr>
      </w:r>
    </w:p>
    <w:p>
      <w:pPr>
        <w:pStyle w:val="Normal"/>
        <w:ind w:firstLine="720" w:end="0"/>
        <w:rPr/>
      </w:pPr>
      <w:r>
        <w:rPr>
          <w:sz w:val="24"/>
        </w:rPr>
        <w:t>On January 2, 2002, Senate Government Affairs Committee Chairman Joe Lieberman (D-CT) announced that the committee would hold a January 24</w:t>
      </w:r>
      <w:r>
        <w:rPr>
          <w:sz w:val="24"/>
          <w:vertAlign w:val="superscript"/>
        </w:rPr>
        <w:t>th</w:t>
      </w:r>
      <w:r>
        <w:rPr>
          <w:sz w:val="24"/>
        </w:rPr>
        <w:t xml:space="preserve"> hearing on the Enron bankruptcy.  According to Chairman Lieberman, the hearing will focus on whether various federal agencies (</w:t>
      </w:r>
      <w:r>
        <w:rPr>
          <w:i/>
          <w:sz w:val="24"/>
        </w:rPr>
        <w:t>e.g.,</w:t>
      </w:r>
      <w:r>
        <w:rPr>
          <w:sz w:val="24"/>
        </w:rPr>
        <w:t xml:space="preserve"> the SEC, the FERC, the CFTC, or the Department of Labor) could have done more to prevent Enron’s bankruptcy and its attendant negative consequences.  Chairman Lieberman also announced that the Government Affairs Committee Permanent Subcommittee on Investigations (PSI) has begun investigating the role of the Enron Board of Directors in overseeing the company’s operations, the role of Enron’s auditor, Arthur Andersen, and Enron’s use of offshore entities, special purpose entities, and limited partnerships.  PSI Chairman Carl Levin (D-MI) has not set a date for the subcommittee’s Enron hearings, but the PSI has begun issuing subpoenas in connection with its investigation.  </w:t>
      </w:r>
    </w:p>
    <w:p>
      <w:pPr>
        <w:pStyle w:val="Normal"/>
        <w:ind w:firstLine="720" w:end="0"/>
        <w:rPr>
          <w:sz w:val="24"/>
        </w:rPr>
      </w:pPr>
      <w:r>
        <w:rPr>
          <w:sz w:val="24"/>
        </w:rPr>
      </w:r>
    </w:p>
    <w:p>
      <w:pPr>
        <w:pStyle w:val="Normal"/>
        <w:ind w:firstLine="720" w:end="0"/>
        <w:rPr>
          <w:sz w:val="24"/>
        </w:rPr>
      </w:pPr>
      <w:r>
        <w:rPr>
          <w:sz w:val="24"/>
        </w:rPr>
        <w:t>Chairman Lieberman is widely considered to be a Democratic Presidential prospect in 2004.  As such, his actions involving Enron likely are meant, at least in part, to diminish President Bush’s soaring popularity while increasing his visibility.  In fact, Lieberman stated that the Government Affairs Committee would consider the Administration’s ties to Enron executives and the influence these executives had in shaping Bush’s energy policy.  According to Lieberman, “Knowing that Mr. Lay, at least, and others played an active role in the formulation of energy policy by the Bush administration, we’ve got to ask whether the advice rendered was at all self-serving.”</w:t>
      </w:r>
    </w:p>
    <w:p>
      <w:pPr>
        <w:pStyle w:val="Normal"/>
        <w:ind w:firstLine="720" w:end="0"/>
        <w:rPr>
          <w:sz w:val="24"/>
        </w:rPr>
      </w:pPr>
      <w:r>
        <w:rPr>
          <w:sz w:val="24"/>
        </w:rPr>
      </w:r>
    </w:p>
    <w:p>
      <w:pPr>
        <w:pStyle w:val="Normal"/>
        <w:ind w:firstLine="720" w:end="0"/>
        <w:rPr>
          <w:sz w:val="24"/>
        </w:rPr>
      </w:pPr>
      <w:r>
        <w:rPr>
          <w:sz w:val="24"/>
        </w:rPr>
        <w:t>Senator Dianne Feinstein (D-CA), who serves on the Senate Energy Committee but not the Senate Government Affairs Committee, also has requested that the Government Affairs Committee investigate the Enron bankruptcy.</w:t>
      </w:r>
    </w:p>
    <w:p>
      <w:pPr>
        <w:pStyle w:val="Normal"/>
        <w:rPr>
          <w:sz w:val="24"/>
        </w:rPr>
      </w:pPr>
      <w:r>
        <w:rPr>
          <w:sz w:val="24"/>
        </w:rPr>
      </w:r>
    </w:p>
    <w:p>
      <w:pPr>
        <w:pStyle w:val="Heading5"/>
        <w:numPr>
          <w:ilvl w:val="0"/>
          <w:numId w:val="2"/>
        </w:numPr>
        <w:rPr/>
      </w:pPr>
      <w:r>
        <w:rPr/>
        <w:t>Senate Banking Committee</w:t>
      </w:r>
    </w:p>
    <w:p>
      <w:pPr>
        <w:pStyle w:val="Normal"/>
        <w:rPr>
          <w:sz w:val="24"/>
        </w:rPr>
      </w:pPr>
      <w:r>
        <w:rPr>
          <w:sz w:val="24"/>
        </w:rPr>
      </w:r>
    </w:p>
    <w:p>
      <w:pPr>
        <w:pStyle w:val="Normal"/>
        <w:ind w:firstLine="720" w:end="0"/>
        <w:rPr>
          <w:sz w:val="24"/>
        </w:rPr>
      </w:pPr>
      <w:r>
        <w:rPr>
          <w:sz w:val="24"/>
        </w:rPr>
        <w:t>On January 7, 2002, Senate Banking Committee member Jon Corzine (D-NJ) urged Banking Committee Chairman Paul Sarbanes (D-MD) to hold hearings on the Enron bankruptcy.  According to Senator Corzine, the failure of the committee to hold Enron-related hearings would amount to a dereliction of the committee’s jurisdictional responsibilities, which includes oversight of the SEC and accounting practices.  As noted above, Corzine joined with Senator Boxer to introduce the “Boxer-Corzine Pension Protection and Diversification Act of 2001,” which would force more diversification in employee pension plans and allow employees greater freedom to divest their holdings.</w:t>
      </w:r>
    </w:p>
    <w:p>
      <w:pPr>
        <w:pStyle w:val="Normal"/>
        <w:ind w:firstLine="720" w:end="0"/>
        <w:rPr>
          <w:sz w:val="24"/>
        </w:rPr>
      </w:pPr>
      <w:r>
        <w:rPr>
          <w:sz w:val="24"/>
        </w:rPr>
      </w:r>
    </w:p>
    <w:p>
      <w:pPr>
        <w:pStyle w:val="Normal"/>
        <w:ind w:firstLine="720" w:end="0"/>
        <w:rPr>
          <w:b/>
          <w:sz w:val="24"/>
        </w:rPr>
      </w:pPr>
      <w:r>
        <w:rPr>
          <w:sz w:val="24"/>
        </w:rPr>
        <w:t xml:space="preserve">Sources have reported, however, that Sarbanes may be reluctant to hold hearings on Enron due to the fact that Phil Gramm’s (R-TX) (the committee’s ranking minority member) wife, Wendy Lee Gramm, is on Enron’s board of directors and is chairwoman of its audit committee.  Moreover, it should be noted that Senator Gramm was influential in pushing through a December 2000 law that exempted Enron’s trading practices from Commodities Futures Trading Commission (CFTC) oversight.  </w:t>
      </w:r>
    </w:p>
    <w:p>
      <w:pPr>
        <w:pStyle w:val="Normal"/>
        <w:rPr>
          <w:b/>
          <w:sz w:val="24"/>
        </w:rPr>
      </w:pPr>
      <w:r>
        <w:rPr>
          <w:b/>
          <w:sz w:val="24"/>
        </w:rPr>
      </w:r>
    </w:p>
    <w:p>
      <w:pPr>
        <w:pStyle w:val="Heading2"/>
        <w:ind w:hanging="0" w:start="0"/>
        <w:jc w:val="start"/>
        <w:rPr/>
      </w:pPr>
      <w:r>
        <w:rPr/>
        <w:t>IV.</w:t>
        <w:tab/>
        <w:t>White House</w:t>
      </w:r>
    </w:p>
    <w:p>
      <w:pPr>
        <w:pStyle w:val="Normal"/>
        <w:rPr>
          <w:sz w:val="24"/>
        </w:rPr>
      </w:pPr>
      <w:r>
        <w:rPr>
          <w:sz w:val="24"/>
        </w:rPr>
      </w:r>
    </w:p>
    <w:p>
      <w:pPr>
        <w:pStyle w:val="Normal"/>
        <w:rPr>
          <w:sz w:val="24"/>
        </w:rPr>
      </w:pPr>
      <w:r>
        <w:rPr>
          <w:sz w:val="24"/>
        </w:rPr>
        <w:tab/>
        <w:t xml:space="preserve">On January 10, 2002, President Bush held a news conference to discuss a recent meeting with his economic security team.  Regarding the Enron bankruptcy, Bush stated that he is concerned about the “wave of bankruptcies that have caused many workers to lose their pensions.”  According to Bush, the Secretary of Labor, the Secretary of Treasury, and the Secretary of Commerce will convene a working group to develop recommendations on how to reform the current pension system.  Bush also said that the Secretary of Treasury, the SEC, and the CFTC will assemble a separate working group to analyze current corporate disclosure rules and regulations.   </w:t>
      </w:r>
    </w:p>
    <w:p>
      <w:pPr>
        <w:pStyle w:val="Normal"/>
        <w:rPr>
          <w:sz w:val="24"/>
        </w:rPr>
      </w:pPr>
      <w:r>
        <w:rPr>
          <w:sz w:val="24"/>
        </w:rPr>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008" w:footer="720" w:bottom="1008"/>
          <w:pgNumType w:fmt="decimal"/>
          <w:formProt w:val="false"/>
          <w:titlePg/>
          <w:textDirection w:val="lrTb"/>
          <w:docGrid w:type="default" w:linePitch="360" w:charSpace="0"/>
        </w:sectPr>
        <w:pStyle w:val="Normal"/>
        <w:ind w:firstLine="720" w:end="0"/>
        <w:rPr>
          <w:sz w:val="24"/>
        </w:rPr>
      </w:pPr>
      <w:r>
        <w:rPr>
          <w:sz w:val="24"/>
        </w:rPr>
        <w:t xml:space="preserve">President Bush commented on his relationship with Ken Lay and noted that he never discussed with Mr. Lay Enron’s financial problems.  According to White House Press Secretary Ari Fleischer, however, Ken Lay did phone Treasury Secretary Paul O’Neill and Commerce Secretary Don Evans to discuss Enron’s financial difficulties and that the company was moving towards bankruptcy.  Lay reportedly also phoned Federal Reserve Chairman Alan Greenspan to discuss these same issues.  Fleischer denied that Mr. Lay had similar conversations with anyone in the White House. </w:t>
      </w:r>
    </w:p>
    <w:p>
      <w:pPr>
        <w:pStyle w:val="Heading2"/>
        <w:ind w:hanging="0" w:start="0"/>
        <w:rPr/>
      </w:pPr>
      <w:r>
        <w:rPr/>
        <w:t>Congressional Enron Hearing Schedule</w:t>
      </w:r>
    </w:p>
    <w:p>
      <w:pPr>
        <w:pStyle w:val="Normal"/>
        <w:ind w:start="-720" w:end="0"/>
        <w:rPr>
          <w:b/>
          <w:sz w:val="24"/>
        </w:rPr>
      </w:pPr>
      <w:r>
        <w:rPr>
          <w:b/>
          <w:sz w:val="24"/>
        </w:rPr>
      </w:r>
    </w:p>
    <w:tbl>
      <w:tblPr>
        <w:tblW w:w="10620" w:type="dxa"/>
        <w:jc w:val="start"/>
        <w:tblInd w:w="-432" w:type="dxa"/>
        <w:tblLayout w:type="fixed"/>
        <w:tblCellMar>
          <w:top w:w="0" w:type="dxa"/>
          <w:start w:w="108" w:type="dxa"/>
          <w:bottom w:w="0" w:type="dxa"/>
          <w:end w:w="108" w:type="dxa"/>
        </w:tblCellMar>
      </w:tblPr>
      <w:tblGrid>
        <w:gridCol w:w="4320"/>
        <w:gridCol w:w="3330"/>
        <w:gridCol w:w="2970"/>
      </w:tblGrid>
      <w:tr>
        <w:trPr/>
        <w:tc>
          <w:tcPr>
            <w:tcW w:w="432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 xml:space="preserve">Committee </w:t>
            </w:r>
          </w:p>
          <w:p>
            <w:pPr>
              <w:pStyle w:val="Normal"/>
              <w:numPr>
                <w:ilvl w:val="0"/>
                <w:numId w:val="3"/>
              </w:numPr>
              <w:rPr>
                <w:b/>
                <w:sz w:val="24"/>
              </w:rPr>
            </w:pPr>
            <w:r>
              <w:rPr>
                <w:b/>
                <w:sz w:val="24"/>
              </w:rPr>
              <w:t>Relevant Subcommittee(s)</w:t>
            </w:r>
          </w:p>
        </w:tc>
        <w:tc>
          <w:tcPr>
            <w:tcW w:w="333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Full Committee Chairman /</w:t>
            </w:r>
          </w:p>
          <w:p>
            <w:pPr>
              <w:pStyle w:val="Normal"/>
              <w:rPr>
                <w:b/>
                <w:sz w:val="24"/>
              </w:rPr>
            </w:pPr>
            <w:r>
              <w:rPr>
                <w:b/>
                <w:sz w:val="24"/>
              </w:rPr>
              <w:t>Ranking Minority Member</w:t>
            </w:r>
          </w:p>
        </w:tc>
        <w:tc>
          <w:tcPr>
            <w:tcW w:w="2970" w:type="dxa"/>
            <w:tcBorders>
              <w:top w:val="single" w:sz="4" w:space="0" w:color="000000"/>
              <w:start w:val="single" w:sz="4" w:space="0" w:color="000000"/>
              <w:bottom w:val="single" w:sz="4" w:space="0" w:color="000000"/>
              <w:end w:val="single" w:sz="4" w:space="0" w:color="000000"/>
            </w:tcBorders>
          </w:tcPr>
          <w:p>
            <w:pPr>
              <w:pStyle w:val="Heading4"/>
              <w:rPr/>
            </w:pPr>
            <w:r>
              <w:rPr/>
              <w:t>Date of hearing</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tc>
        <w:tc>
          <w:tcPr>
            <w:tcW w:w="333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House Energy and Commerce Committee</w:t>
            </w:r>
          </w:p>
          <w:p>
            <w:pPr>
              <w:pStyle w:val="Normal"/>
              <w:numPr>
                <w:ilvl w:val="0"/>
                <w:numId w:val="7"/>
              </w:numPr>
              <w:rPr>
                <w:sz w:val="24"/>
              </w:rPr>
            </w:pPr>
            <w:r>
              <w:rPr>
                <w:sz w:val="24"/>
              </w:rPr>
              <w:t>Oversight and Investigation Subcommittee</w:t>
            </w:r>
          </w:p>
          <w:p>
            <w:pPr>
              <w:pStyle w:val="Normal"/>
              <w:numPr>
                <w:ilvl w:val="0"/>
                <w:numId w:val="7"/>
              </w:numPr>
              <w:rPr>
                <w:sz w:val="24"/>
              </w:rPr>
            </w:pPr>
            <w:r>
              <w:rPr>
                <w:sz w:val="24"/>
              </w:rPr>
              <w:t>Energy and Air Quality Subcommittee</w:t>
            </w:r>
          </w:p>
        </w:tc>
        <w:tc>
          <w:tcPr>
            <w:tcW w:w="3330"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Billy Tauzin (R-LA) /</w:t>
            </w:r>
          </w:p>
          <w:p>
            <w:pPr>
              <w:pStyle w:val="Normal"/>
              <w:rPr>
                <w:sz w:val="24"/>
              </w:rPr>
            </w:pPr>
            <w:r>
              <w:rPr>
                <w:sz w:val="24"/>
              </w:rPr>
              <w:t>John Dingell (D-MI)</w:t>
            </w:r>
          </w:p>
        </w:tc>
        <w:tc>
          <w:tcPr>
            <w:tcW w:w="29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Late January / Early February 2002</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House Financial Services Committee</w:t>
            </w:r>
          </w:p>
          <w:p>
            <w:pPr>
              <w:pStyle w:val="Normal"/>
              <w:numPr>
                <w:ilvl w:val="0"/>
                <w:numId w:val="11"/>
              </w:numPr>
              <w:rPr>
                <w:sz w:val="24"/>
              </w:rPr>
            </w:pPr>
            <w:r>
              <w:rPr>
                <w:sz w:val="24"/>
              </w:rPr>
              <w:t>Oversight and Investigation Subcommittee</w:t>
            </w:r>
          </w:p>
          <w:p>
            <w:pPr>
              <w:pStyle w:val="Normal"/>
              <w:numPr>
                <w:ilvl w:val="0"/>
                <w:numId w:val="11"/>
              </w:numPr>
              <w:rPr>
                <w:sz w:val="24"/>
              </w:rPr>
            </w:pPr>
            <w:r>
              <w:rPr>
                <w:sz w:val="24"/>
              </w:rPr>
              <w:t>Capital Markets Subcommittee</w:t>
            </w:r>
          </w:p>
        </w:tc>
        <w:tc>
          <w:tcPr>
            <w:tcW w:w="3330"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Michael Oxley (R-OH) /</w:t>
            </w:r>
          </w:p>
          <w:p>
            <w:pPr>
              <w:pStyle w:val="Normal"/>
              <w:rPr>
                <w:sz w:val="24"/>
              </w:rPr>
            </w:pPr>
            <w:r>
              <w:rPr>
                <w:sz w:val="24"/>
              </w:rPr>
              <w:t>John LaFalce (D-NY)</w:t>
            </w:r>
          </w:p>
        </w:tc>
        <w:tc>
          <w:tcPr>
            <w:tcW w:w="29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December 12, 2001</w:t>
            </w:r>
          </w:p>
          <w:p>
            <w:pPr>
              <w:pStyle w:val="Normal"/>
              <w:rPr>
                <w:sz w:val="24"/>
              </w:rPr>
            </w:pPr>
            <w:r>
              <w:rPr>
                <w:sz w:val="24"/>
              </w:rPr>
            </w:r>
          </w:p>
          <w:p>
            <w:pPr>
              <w:pStyle w:val="Normal"/>
              <w:rPr>
                <w:sz w:val="24"/>
              </w:rPr>
            </w:pPr>
            <w:r>
              <w:rPr>
                <w:sz w:val="24"/>
              </w:rPr>
              <w:t>Future hearings not yet scheduled.</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House Education and the Workforce Committee</w:t>
            </w:r>
          </w:p>
          <w:p>
            <w:pPr>
              <w:pStyle w:val="Normal"/>
              <w:numPr>
                <w:ilvl w:val="0"/>
                <w:numId w:val="12"/>
              </w:numPr>
              <w:rPr>
                <w:sz w:val="24"/>
              </w:rPr>
            </w:pPr>
            <w:r>
              <w:rPr>
                <w:sz w:val="24"/>
              </w:rPr>
              <w:t>Employer-Employee Relations Subcommittee</w:t>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John Boehner (R-OH) /</w:t>
            </w:r>
          </w:p>
          <w:p>
            <w:pPr>
              <w:pStyle w:val="Normal"/>
              <w:rPr>
                <w:sz w:val="24"/>
              </w:rPr>
            </w:pPr>
            <w:r>
              <w:rPr>
                <w:sz w:val="24"/>
              </w:rPr>
              <w:t>George Miller (D-CA)</w:t>
            </w:r>
          </w:p>
        </w:tc>
        <w:tc>
          <w:tcPr>
            <w:tcW w:w="2970"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First Quarter 2002</w:t>
            </w:r>
          </w:p>
        </w:tc>
      </w:tr>
      <w:tr>
        <w:trPr/>
        <w:tc>
          <w:tcPr>
            <w:tcW w:w="4320"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House Government Reform Committee</w:t>
            </w:r>
          </w:p>
          <w:p>
            <w:pPr>
              <w:pStyle w:val="Normal"/>
              <w:numPr>
                <w:ilvl w:val="0"/>
                <w:numId w:val="10"/>
              </w:numPr>
              <w:rPr>
                <w:sz w:val="24"/>
              </w:rPr>
            </w:pPr>
            <w:r>
              <w:rPr>
                <w:sz w:val="24"/>
              </w:rPr>
              <w:t>Energy Policy Subcommittee</w:t>
            </w:r>
          </w:p>
        </w:tc>
        <w:tc>
          <w:tcPr>
            <w:tcW w:w="3330"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Dan Burton (R-IN) /</w:t>
            </w:r>
          </w:p>
          <w:p>
            <w:pPr>
              <w:pStyle w:val="Normal"/>
              <w:rPr>
                <w:sz w:val="24"/>
              </w:rPr>
            </w:pPr>
            <w:r>
              <w:rPr>
                <w:sz w:val="24"/>
              </w:rPr>
              <w:t>Henry Waxman (D-CA)</w:t>
            </w:r>
          </w:p>
        </w:tc>
        <w:tc>
          <w:tcPr>
            <w:tcW w:w="29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Committee has not yet indicated it will hold hearings on the Enron bankruptcy.  Special Investigations Division of the Committee's minority staff is investigating allegations of misconduct at Enron.</w:t>
            </w:r>
          </w:p>
        </w:tc>
      </w:tr>
      <w:tr>
        <w:trPr/>
        <w:tc>
          <w:tcPr>
            <w:tcW w:w="4320"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Senate Commerce Committee</w:t>
            </w:r>
          </w:p>
          <w:p>
            <w:pPr>
              <w:pStyle w:val="Normal"/>
              <w:numPr>
                <w:ilvl w:val="0"/>
                <w:numId w:val="9"/>
              </w:numPr>
              <w:rPr>
                <w:sz w:val="24"/>
              </w:rPr>
            </w:pPr>
            <w:r>
              <w:rPr>
                <w:sz w:val="24"/>
              </w:rPr>
              <w:t>Consumer Affairs Subcommittee</w:t>
            </w:r>
          </w:p>
        </w:tc>
        <w:tc>
          <w:tcPr>
            <w:tcW w:w="3330"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Ernest F. Hollings (D-SC) /</w:t>
            </w:r>
          </w:p>
          <w:p>
            <w:pPr>
              <w:pStyle w:val="Normal"/>
              <w:rPr>
                <w:sz w:val="24"/>
              </w:rPr>
            </w:pPr>
            <w:r>
              <w:rPr>
                <w:sz w:val="24"/>
              </w:rPr>
              <w:t>John McCain (R-AZ)</w:t>
            </w:r>
          </w:p>
        </w:tc>
        <w:tc>
          <w:tcPr>
            <w:tcW w:w="2970"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December 18, 2001</w:t>
            </w:r>
          </w:p>
          <w:p>
            <w:pPr>
              <w:pStyle w:val="Normal"/>
              <w:rPr>
                <w:sz w:val="24"/>
              </w:rPr>
            </w:pPr>
            <w:r>
              <w:rPr>
                <w:sz w:val="24"/>
              </w:rPr>
            </w:r>
          </w:p>
          <w:p>
            <w:pPr>
              <w:pStyle w:val="Normal"/>
              <w:rPr>
                <w:sz w:val="24"/>
              </w:rPr>
            </w:pPr>
            <w:r>
              <w:rPr>
                <w:sz w:val="24"/>
              </w:rPr>
              <w:t>February 4, 2002</w:t>
            </w:r>
          </w:p>
        </w:tc>
      </w:tr>
      <w:tr>
        <w:trPr/>
        <w:tc>
          <w:tcPr>
            <w:tcW w:w="4320"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Senate Energy Committee</w:t>
            </w:r>
          </w:p>
          <w:p>
            <w:pPr>
              <w:pStyle w:val="Normal"/>
              <w:numPr>
                <w:ilvl w:val="0"/>
                <w:numId w:val="6"/>
              </w:numPr>
              <w:rPr>
                <w:sz w:val="24"/>
              </w:rPr>
            </w:pPr>
            <w:r>
              <w:rPr>
                <w:sz w:val="24"/>
              </w:rPr>
              <w:t>Energy Subcommittee</w:t>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Jeff Bingaman (D-NM) /</w:t>
            </w:r>
          </w:p>
          <w:p>
            <w:pPr>
              <w:pStyle w:val="Normal"/>
              <w:rPr>
                <w:b/>
                <w:sz w:val="24"/>
              </w:rPr>
            </w:pPr>
            <w:r>
              <w:rPr>
                <w:sz w:val="24"/>
              </w:rPr>
              <w:t>Frank Murkowski (R-AK)</w:t>
            </w:r>
          </w:p>
        </w:tc>
        <w:tc>
          <w:tcPr>
            <w:tcW w:w="29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Late January / Early February 2002</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Senate Government Affairs Committee</w:t>
            </w:r>
          </w:p>
          <w:p>
            <w:pPr>
              <w:pStyle w:val="Normal"/>
              <w:numPr>
                <w:ilvl w:val="0"/>
                <w:numId w:val="5"/>
              </w:numPr>
              <w:rPr>
                <w:sz w:val="24"/>
              </w:rPr>
            </w:pPr>
            <w:r>
              <w:rPr>
                <w:sz w:val="24"/>
              </w:rPr>
              <w:t>Permanent Subcommittee on Investigations (PSI)</w:t>
            </w:r>
          </w:p>
        </w:tc>
        <w:tc>
          <w:tcPr>
            <w:tcW w:w="3330"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Joseph Lieberman (D-CT) /</w:t>
            </w:r>
          </w:p>
          <w:p>
            <w:pPr>
              <w:pStyle w:val="Normal"/>
              <w:rPr>
                <w:sz w:val="24"/>
              </w:rPr>
            </w:pPr>
            <w:r>
              <w:rPr>
                <w:sz w:val="24"/>
              </w:rPr>
              <w:t>Fred Thompson (R-TN)</w:t>
            </w:r>
          </w:p>
        </w:tc>
        <w:tc>
          <w:tcPr>
            <w:tcW w:w="2970"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Full Committee hearing - January 24, 2002</w:t>
            </w:r>
          </w:p>
          <w:p>
            <w:pPr>
              <w:pStyle w:val="Normal"/>
              <w:rPr>
                <w:sz w:val="24"/>
              </w:rPr>
            </w:pPr>
            <w:r>
              <w:rPr>
                <w:sz w:val="24"/>
              </w:rPr>
            </w:r>
          </w:p>
          <w:p>
            <w:pPr>
              <w:pStyle w:val="Normal"/>
              <w:rPr>
                <w:sz w:val="24"/>
              </w:rPr>
            </w:pPr>
            <w:r>
              <w:rPr>
                <w:sz w:val="24"/>
              </w:rPr>
              <w:t>PSI hearing not yet scheduled.  May occur in late spring or early summer 2002.</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Senate Banking Committee</w:t>
            </w:r>
          </w:p>
          <w:p>
            <w:pPr>
              <w:pStyle w:val="Normal"/>
              <w:numPr>
                <w:ilvl w:val="0"/>
                <w:numId w:val="4"/>
              </w:numPr>
              <w:rPr>
                <w:sz w:val="24"/>
              </w:rPr>
            </w:pPr>
            <w:r>
              <w:rPr>
                <w:sz w:val="24"/>
              </w:rPr>
              <w:t>Economic Policy</w:t>
            </w:r>
          </w:p>
          <w:p>
            <w:pPr>
              <w:pStyle w:val="Normal"/>
              <w:numPr>
                <w:ilvl w:val="0"/>
                <w:numId w:val="4"/>
              </w:numPr>
              <w:rPr>
                <w:sz w:val="24"/>
              </w:rPr>
            </w:pPr>
            <w:r>
              <w:rPr>
                <w:sz w:val="24"/>
              </w:rPr>
              <w:t>Financial Institutions</w:t>
            </w:r>
          </w:p>
          <w:p>
            <w:pPr>
              <w:pStyle w:val="Normal"/>
              <w:numPr>
                <w:ilvl w:val="0"/>
                <w:numId w:val="4"/>
              </w:numPr>
              <w:rPr>
                <w:sz w:val="24"/>
              </w:rPr>
            </w:pPr>
            <w:r>
              <w:rPr>
                <w:sz w:val="24"/>
              </w:rPr>
              <w:t>Securities and Investment</w:t>
            </w:r>
          </w:p>
        </w:tc>
        <w:tc>
          <w:tcPr>
            <w:tcW w:w="33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Paul Sarbanes (D-MD) /</w:t>
            </w:r>
          </w:p>
          <w:p>
            <w:pPr>
              <w:pStyle w:val="Normal"/>
              <w:rPr>
                <w:b/>
                <w:sz w:val="24"/>
              </w:rPr>
            </w:pPr>
            <w:r>
              <w:rPr>
                <w:sz w:val="24"/>
              </w:rPr>
              <w:t>Phil Gramm (R-TX)</w:t>
            </w:r>
          </w:p>
        </w:tc>
        <w:tc>
          <w:tcPr>
            <w:tcW w:w="29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None yet scheduled.</w:t>
            </w:r>
          </w:p>
        </w:tc>
      </w:tr>
    </w:tbl>
    <w:p>
      <w:pPr>
        <w:pStyle w:val="Normal"/>
        <w:rPr>
          <w:b/>
          <w:sz w:val="24"/>
        </w:rPr>
      </w:pPr>
      <w:r>
        <w:rPr>
          <w:b/>
          <w:sz w:val="24"/>
        </w:rPr>
      </w:r>
    </w:p>
    <w:p>
      <w:pPr>
        <w:pStyle w:val="Normal"/>
        <w:rPr>
          <w:b/>
          <w:sz w:val="24"/>
        </w:rPr>
      </w:pPr>
      <w:r>
        <w:rPr>
          <w:b/>
          <w:sz w:val="24"/>
        </w:rPr>
      </w:r>
    </w:p>
    <w:p>
      <w:pPr>
        <w:pStyle w:val="Normal"/>
        <w:rPr>
          <w:b/>
          <w:sz w:val="24"/>
        </w:rPr>
      </w:pPr>
      <w:r>
        <w:rPr>
          <w:b/>
          <w:sz w:val="24"/>
        </w:rPr>
        <w:t>January 11, 2002</w:t>
      </w:r>
    </w:p>
    <w:p>
      <w:pPr>
        <w:pStyle w:val="Normal"/>
        <w:rPr>
          <w:b/>
          <w:sz w:val="24"/>
        </w:rPr>
      </w:pPr>
      <w:r>
        <w:rPr>
          <w:b/>
          <w:sz w:val="24"/>
        </w:rPr>
      </w:r>
    </w:p>
    <w:p>
      <w:pPr>
        <w:pStyle w:val="Normal"/>
        <w:rPr>
          <w:sz w:val="16"/>
        </w:rPr>
      </w:pPr>
      <w:r>
        <w:rPr>
          <w:sz w:val="16"/>
        </w:rPr>
        <w:t>5041227 v.2</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Senator Boxer did not identify in her statement the provision to which she was referring.  We are, however, in the process of working to identify properly the applicable law.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24"/>
      </w:rPr>
    </w:pPr>
    <w:r>
      <w:rPr>
        <w:b/>
        <w:i/>
        <w:sz w:val="24"/>
      </w:rPr>
      <w:t>Privileged and Confidential</w:t>
    </w:r>
  </w:p>
  <w:p>
    <w:pPr>
      <w:pStyle w:val="Header"/>
      <w:jc w:val="center"/>
      <w:rPr>
        <w:b/>
        <w:i/>
        <w:i/>
        <w:sz w:val="24"/>
      </w:rPr>
    </w:pPr>
    <w:r>
      <w:rPr>
        <w:b/>
        <w:i/>
        <w:sz w:val="24"/>
      </w:rPr>
      <w:t>Attorney Client Work Product</w:t>
    </w:r>
  </w:p>
  <w:p>
    <w:pPr>
      <w:pStyle w:val="Header"/>
      <w:jc w:val="center"/>
      <w:rPr>
        <w:b/>
        <w:i/>
        <w:i/>
        <w:sz w:val="24"/>
      </w:rPr>
    </w:pPr>
    <w:r>
      <w:rPr>
        <w:b/>
        <w:i/>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24"/>
      </w:rPr>
    </w:pPr>
    <w:r>
      <w:rPr>
        <w:b/>
        <w:i/>
        <w:sz w:val="24"/>
      </w:rPr>
      <w:t>Privileged and Confidential</w:t>
    </w:r>
  </w:p>
  <w:p>
    <w:pPr>
      <w:pStyle w:val="Header"/>
      <w:jc w:val="center"/>
      <w:rPr>
        <w:b/>
        <w:i/>
        <w:i/>
        <w:sz w:val="24"/>
      </w:rPr>
    </w:pPr>
    <w:r>
      <w:rPr>
        <w:b/>
        <w:i/>
        <w:sz w:val="24"/>
      </w:rPr>
      <w:t>Attorney Client Work Product</w:t>
    </w:r>
  </w:p>
  <w:p>
    <w:pPr>
      <w:pStyle w:val="Header"/>
      <w:jc w:val="center"/>
      <w:rPr>
        <w:b/>
        <w:i/>
        <w:i/>
        <w:sz w:val="24"/>
      </w:rPr>
    </w:pPr>
    <w:r>
      <w:rPr>
        <w:b/>
        <w:i/>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upperLetter"/>
      <w:lvlText w:val="%1."/>
      <w:lvlJc w:val="start"/>
      <w:pPr>
        <w:tabs>
          <w:tab w:val="num" w:pos="1440"/>
        </w:tabs>
        <w:ind w:start="1440" w:hanging="72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88"/>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ind w:hanging="0" w:start="0" w:end="252"/>
      <w:outlineLvl w:val="3"/>
    </w:pPr>
    <w:rPr>
      <w:b/>
      <w:sz w:val="24"/>
    </w:rPr>
  </w:style>
  <w:style w:type="paragraph" w:styleId="Heading5">
    <w:name w:val="heading 5"/>
    <w:basedOn w:val="Normal"/>
    <w:next w:val="Normal"/>
    <w:qFormat/>
    <w:pPr>
      <w:keepNext w:val="true"/>
      <w:numPr>
        <w:ilvl w:val="0"/>
        <w:numId w:val="8"/>
      </w:numPr>
      <w:outlineLvl w:val="4"/>
    </w:pPr>
    <w:rPr>
      <w:b/>
      <w:sz w:val="24"/>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z w:val="24"/>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2002-01-11T18:23:00Z</dcterms:created>
  <dc:creator>DeloreJT</dc:creator>
  <dc:description/>
  <dc:language>en-CA</dc:language>
  <cp:lastModifiedBy>DeloreJT</cp:lastModifiedBy>
  <cp:lastPrinted>2002-01-11T15:53:00Z</cp:lastPrinted>
  <dcterms:modified xsi:type="dcterms:W3CDTF">2002-01-11T20:45:00Z</dcterms:modified>
  <cp:revision>7</cp:revision>
  <dc:subject/>
  <dc:title>MEMORANDUM</dc:title>
</cp:coreProperties>
</file>