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1"/>
        </w:numPr>
        <w:rPr/>
      </w:pPr>
      <w:r>
        <w:rPr/>
        <w:t>3/25/00  Effective Date of Purchase Contract</w:t>
      </w:r>
    </w:p>
    <w:p>
      <w:pPr>
        <w:pStyle w:val="Normal"/>
        <w:numPr>
          <w:ilvl w:val="0"/>
          <w:numId w:val="1"/>
        </w:numPr>
        <w:rPr/>
      </w:pPr>
      <w:r>
        <w:rPr/>
        <w:t>3/21/00  SW provides 25 day advance notice of expected generator shipping date</w:t>
      </w:r>
    </w:p>
    <w:p>
      <w:pPr>
        <w:pStyle w:val="Normal"/>
        <w:numPr>
          <w:ilvl w:val="0"/>
          <w:numId w:val="1"/>
        </w:numPr>
        <w:rPr/>
      </w:pPr>
      <w:r>
        <w:rPr/>
        <w:t xml:space="preserve">5/03/00  Guaranteed Unit Delivery Date amended to </w:t>
      </w:r>
      <w:r>
        <w:rPr>
          <w:b/>
        </w:rPr>
        <w:t>Sept. 9, 2000</w:t>
      </w:r>
    </w:p>
    <w:p>
      <w:pPr>
        <w:pStyle w:val="Normal"/>
        <w:numPr>
          <w:ilvl w:val="0"/>
          <w:numId w:val="1"/>
        </w:numPr>
        <w:rPr/>
      </w:pPr>
      <w:r>
        <w:rPr/>
        <w:t>6/13/00  Previously agreed Guaranteed Unit Delivery Date</w:t>
      </w:r>
    </w:p>
    <w:p>
      <w:pPr>
        <w:pStyle w:val="Normal"/>
        <w:numPr>
          <w:ilvl w:val="0"/>
          <w:numId w:val="1"/>
        </w:numPr>
        <w:rPr/>
      </w:pPr>
      <w:r>
        <w:rPr/>
        <w:t>6/16/00  SW provided notice of generator shipping</w:t>
      </w:r>
    </w:p>
    <w:p>
      <w:pPr>
        <w:pStyle w:val="Normal"/>
        <w:numPr>
          <w:ilvl w:val="0"/>
          <w:numId w:val="1"/>
        </w:numPr>
        <w:rPr>
          <w:b/>
          <w:sz w:val="24"/>
        </w:rPr>
      </w:pPr>
      <w:r>
        <w:rPr/>
        <w:t xml:space="preserve">7/6/00  Gas Turbine arrived at Port of Houston  </w:t>
      </w:r>
      <w:r>
        <w:rPr>
          <w:rStyle w:val="FootnoteCharacters"/>
          <w:rStyle w:val="FootnoteReference"/>
          <w:b/>
          <w:sz w:val="24"/>
        </w:rPr>
        <w:footnoteReference w:id="2"/>
      </w:r>
    </w:p>
    <w:p>
      <w:pPr>
        <w:pStyle w:val="Normal"/>
        <w:numPr>
          <w:ilvl w:val="0"/>
          <w:numId w:val="1"/>
        </w:numPr>
        <w:rPr/>
      </w:pPr>
      <w:r>
        <w:rPr/>
        <w:t>7/7/00  SW sent correspondence to Matt Tezyk noting a storage arrangement and stating that the Delivery Point would be EXPORT HOUSE.</w:t>
      </w:r>
    </w:p>
    <w:p>
      <w:pPr>
        <w:pStyle w:val="Normal"/>
        <w:numPr>
          <w:ilvl w:val="0"/>
          <w:numId w:val="1"/>
        </w:numPr>
        <w:rPr/>
      </w:pPr>
      <w:r>
        <w:rPr/>
        <w:t>8/4/00  Meeting between Intermarine (cargo carrier) and SW with a statement made that correction of the water damaged generators would cost more than the actual cost of new generators (this is noted in the Post-Incident Report)</w:t>
      </w:r>
    </w:p>
    <w:p>
      <w:pPr>
        <w:pStyle w:val="Normal"/>
        <w:numPr>
          <w:ilvl w:val="0"/>
          <w:numId w:val="1"/>
        </w:numPr>
        <w:rPr/>
      </w:pPr>
      <w:r>
        <w:rPr/>
        <w:t>8/14/00  SW provided notice of water damage to generator along with a request for Enron’s insurance carrier</w:t>
      </w:r>
    </w:p>
    <w:p>
      <w:pPr>
        <w:pStyle w:val="Normal"/>
        <w:numPr>
          <w:ilvl w:val="0"/>
          <w:numId w:val="1"/>
        </w:numPr>
        <w:rPr/>
      </w:pPr>
      <w:r>
        <w:rPr/>
        <w:t>8/18/00  SW provided “Preliminary Shipper’s Report” by e-mail</w:t>
      </w:r>
    </w:p>
    <w:p>
      <w:pPr>
        <w:pStyle w:val="Normal"/>
        <w:numPr>
          <w:ilvl w:val="0"/>
          <w:numId w:val="1"/>
        </w:numPr>
        <w:rPr/>
      </w:pPr>
      <w:r>
        <w:rPr/>
        <w:t>8/18/00  Enron sent “Cargo Reporting Form” to SW for insurance claim</w:t>
      </w:r>
    </w:p>
    <w:p>
      <w:pPr>
        <w:pStyle w:val="Normal"/>
        <w:numPr>
          <w:ilvl w:val="0"/>
          <w:numId w:val="1"/>
        </w:numPr>
        <w:rPr/>
      </w:pPr>
      <w:r>
        <w:rPr/>
        <w:t>8/30/00  Matt Tezyk provided a memorandum of conversations with SW on replacement of the damaged generator and damage reports</w:t>
      </w:r>
    </w:p>
    <w:p>
      <w:pPr>
        <w:pStyle w:val="Normal"/>
        <w:numPr>
          <w:ilvl w:val="0"/>
          <w:numId w:val="1"/>
        </w:numPr>
        <w:rPr/>
      </w:pPr>
      <w:r>
        <w:rPr/>
        <w:t>9/13/00  SW provided a consolidated Pre-Departure Report, shipping documents, and Post Incident Report</w:t>
      </w:r>
    </w:p>
    <w:p>
      <w:pPr>
        <w:pStyle w:val="Normal"/>
        <w:numPr>
          <w:ilvl w:val="0"/>
          <w:numId w:val="1"/>
        </w:numPr>
        <w:rPr/>
      </w:pPr>
      <w:r>
        <w:rPr/>
        <w:t>11/08/00  Scott Laidlaw (Enron) e-mail to Lynn Dekrey (SW) regarding the following – possible changes to original equipment for replacement equipment.</w:t>
      </w:r>
    </w:p>
    <w:p>
      <w:pPr>
        <w:pStyle w:val="Normal"/>
        <w:numPr>
          <w:ilvl w:val="0"/>
          <w:numId w:val="1"/>
        </w:numPr>
        <w:rPr/>
      </w:pPr>
      <w:r>
        <w:rPr/>
        <w:t>11/10/00  Enron (Dan Schultz) forwards response to SW responding to issues listed below –</w:t>
      </w:r>
    </w:p>
    <w:p>
      <w:pPr>
        <w:pStyle w:val="Normal"/>
        <w:numPr>
          <w:ilvl w:val="1"/>
          <w:numId w:val="1"/>
        </w:numPr>
        <w:rPr/>
      </w:pPr>
      <w:r>
        <w:rPr/>
        <w:t>Refers to verbal correspondence received from SW regarding a claim of Force Majeure per a letter from SW sent in July (is this reference correct or should this reference the August 14 letter???).  The letter states Enron disagrees with the claim of Force Majeure.</w:t>
      </w:r>
    </w:p>
    <w:p>
      <w:pPr>
        <w:pStyle w:val="Normal"/>
        <w:numPr>
          <w:ilvl w:val="1"/>
          <w:numId w:val="1"/>
        </w:numPr>
        <w:rPr/>
      </w:pPr>
      <w:r>
        <w:rPr/>
        <w:t>Refers to a September letter from SW where an offer was made to replace the damaged generator.  This may have been in reference to a voice mail offer to Matt Tezyk to replace damaged generator with an Erferd generator.  This letter states that Enron requires SW to provide detailed specifications on the replacement generator so it can confirm it meets the technical requirements of the Purchase Agreement.</w:t>
      </w:r>
    </w:p>
    <w:p>
      <w:pPr>
        <w:pStyle w:val="Normal"/>
        <w:numPr>
          <w:ilvl w:val="1"/>
          <w:numId w:val="1"/>
        </w:numPr>
        <w:rPr/>
      </w:pPr>
      <w:r>
        <w:rPr/>
        <w:t>Enron reiterates that the Guaranteed Delivery Date remains September 2, 2000.</w:t>
      </w:r>
    </w:p>
    <w:p>
      <w:pPr>
        <w:pStyle w:val="Normal"/>
        <w:numPr>
          <w:ilvl w:val="1"/>
          <w:numId w:val="1"/>
        </w:numPr>
        <w:rPr/>
      </w:pPr>
      <w:r>
        <w:rPr/>
        <w:t>Enron requires that the Delivery Point remain Houston, Texas.</w:t>
      </w:r>
    </w:p>
    <w:p>
      <w:pPr>
        <w:pStyle w:val="Normal"/>
        <w:numPr>
          <w:ilvl w:val="1"/>
          <w:numId w:val="1"/>
        </w:numPr>
        <w:rPr/>
      </w:pPr>
      <w:r>
        <w:rPr/>
        <w:t>Enron reserves all rights under the contract regarding Delivery Date LD’s for late delivery.  Assuming a May 1, 2001 replacement of equipment date, the Delivery LD’s would be approximately $5.5 MM (Sept. 2, 2000-May 1, 2001 -- $285k for first 30 days and $25k per day thereafter).</w:t>
      </w:r>
    </w:p>
    <w:p>
      <w:pPr>
        <w:pStyle w:val="Normal"/>
        <w:numPr>
          <w:ilvl w:val="1"/>
          <w:numId w:val="1"/>
        </w:numPr>
        <w:rPr/>
      </w:pPr>
      <w:r>
        <w:rPr/>
        <w:t>Request for refund of the Milestone Payment made in advance and due on delivery at the “Delivery Point.”</w:t>
      </w:r>
    </w:p>
    <w:p>
      <w:pPr>
        <w:pStyle w:val="Normal"/>
        <w:numPr>
          <w:ilvl w:val="0"/>
          <w:numId w:val="1"/>
        </w:numPr>
        <w:rPr/>
      </w:pPr>
      <w:r>
        <w:rPr/>
        <w:t>11/10/00  Letter from Dan Schultz (Enron) to Mark Tartaglio (SW) discussing either the re-marketing or purchase of generator.</w:t>
      </w:r>
    </w:p>
    <w:p>
      <w:pPr>
        <w:pStyle w:val="Normal"/>
        <w:numPr>
          <w:ilvl w:val="0"/>
          <w:numId w:val="1"/>
        </w:numPr>
        <w:rPr/>
      </w:pPr>
      <w:r>
        <w:rPr/>
        <w:t xml:space="preserve">12/8/00  Received letter via fax from Lynn Dekrey (SW) to Dan Schultz (Enron) stating that title and risk of loss had passed to Enron prior to damage </w:t>
      </w:r>
    </w:p>
    <w:p>
      <w:pPr>
        <w:pStyle w:val="Normal"/>
        <w:numPr>
          <w:ilvl w:val="0"/>
          <w:numId w:val="1"/>
        </w:numPr>
        <w:rPr/>
      </w:pPr>
      <w:r>
        <w:rPr/>
        <w:t>12/14/00  Scott Laidlaw e-mail to Enron personnel describing a call with SW regarding an offer to purchase back the damaged generator at cost and nothing more (letter to follow – no letter found?????)</w:t>
      </w:r>
    </w:p>
    <w:p>
      <w:pPr>
        <w:pStyle w:val="Normal"/>
        <w:numPr>
          <w:ilvl w:val="0"/>
          <w:numId w:val="1"/>
        </w:numPr>
        <w:rPr/>
      </w:pPr>
      <w:r>
        <w:rPr/>
        <w:t>12/27/00  Letter from Matthews, Matson &amp; Kelley, Ltd. (Insurers) to Jim Studdert (Enron) regarding the damaged equipment claim, requesting a copy of the Purchase Agreement, the untimely report of the damage to the Insurers, and a request for inspection.</w:t>
      </w:r>
    </w:p>
    <w:p>
      <w:pPr>
        <w:pStyle w:val="Normal"/>
        <w:numPr>
          <w:ilvl w:val="0"/>
          <w:numId w:val="1"/>
        </w:numPr>
        <w:rPr/>
      </w:pPr>
      <w:r>
        <w:rPr/>
        <w:t>1/18/00  Letter from Lynn Dekrey (SW) to Matt Tezyk (Enron) in response to a letter from Scott Laidlaw dated January 12, 2001 (I asked Matt Tezyk on January 22 to find this correspondence and forward a copy).  The response outlines what would be needed to return the damaged generator to workable condition and further states that the cost would be in excess of replacement cost.</w:t>
      </w:r>
    </w:p>
    <w:p>
      <w:pPr>
        <w:pStyle w:val="Normal"/>
        <w:rPr/>
      </w:pPr>
      <w:r>
        <w:rPr/>
      </w:r>
    </w:p>
    <w:p>
      <w:pPr>
        <w:pStyle w:val="Normal"/>
        <w:rPr/>
      </w:pPr>
      <w:r>
        <w:rPr/>
      </w:r>
    </w:p>
    <w:p>
      <w:pPr>
        <w:pStyle w:val="Normal"/>
        <w:rPr/>
      </w:pPr>
      <w:r>
        <w:rPr/>
        <w:t>Next Steps:</w:t>
      </w:r>
    </w:p>
    <w:p>
      <w:pPr>
        <w:pStyle w:val="Normal"/>
        <w:rPr/>
      </w:pPr>
      <w:r>
        <w:rPr/>
      </w:r>
    </w:p>
    <w:p>
      <w:pPr>
        <w:pStyle w:val="Normal"/>
        <w:numPr>
          <w:ilvl w:val="0"/>
          <w:numId w:val="1"/>
        </w:numPr>
        <w:rPr/>
      </w:pPr>
      <w:r>
        <w:rPr/>
        <w:t>1/22/01  Made a request to Kay Mann to outline Enron’s legal stance as it applies to responsibility and transfer of title.</w:t>
      </w:r>
    </w:p>
    <w:p>
      <w:pPr>
        <w:pStyle w:val="Normal"/>
        <w:numPr>
          <w:ilvl w:val="0"/>
          <w:numId w:val="1"/>
        </w:numPr>
        <w:rPr/>
      </w:pPr>
      <w:r>
        <w:rPr/>
        <w:t>1/22/01  Forwarded draft letter (written by Scott Laidlaw) to Jim Studdert to assist in his draft letter to be forwarded to Matthews, Matson &amp; Kelley, Ltd. (Insurers).  The letter will partially be in response to the letter from the Insurers dated December 27, 2000 and also will set the foundation for next steps.</w:t>
      </w:r>
    </w:p>
    <w:p>
      <w:pPr>
        <w:pStyle w:val="Normal"/>
        <w:numPr>
          <w:ilvl w:val="0"/>
          <w:numId w:val="1"/>
        </w:numPr>
        <w:rPr/>
      </w:pPr>
      <w:r>
        <w:rPr/>
        <w:t>1/23/01  Draft response to letter received by fax from Lynn Dekrey (SW) to Dan Shultz (Enron) and route for comments.</w:t>
      </w:r>
    </w:p>
    <w:sectPr>
      <w:headerReference w:type="default" r:id="rId2"/>
      <w:footnotePr>
        <w:numFmt w:val="decimal"/>
      </w:footnotePr>
      <w:type w:val="nextPage"/>
      <w:pgSz w:w="12240" w:h="15840"/>
      <w:pgMar w:left="1800" w:right="1800" w:gutter="0" w:header="72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Purchase Agreement Section 10.2.1 – “…delivered in an undamaged condition in accordance with the Specifications –CT to the Delivery Point (“DDP” – US Port of export by any means of transport other than rail or truck) in accordance with Schedule 1 on the Guaranteed Unit Delivery Date (amended to Sept. 2, 2000).</w:t>
      </w:r>
    </w:p>
    <w:p>
      <w:pPr>
        <w:pStyle w:val="FootnoteText"/>
        <w:rPr/>
      </w:pPr>
      <w:r>
        <w:rPr/>
      </w:r>
    </w:p>
    <w:p>
      <w:pPr>
        <w:pStyle w:val="FootnoteText"/>
        <w:rPr/>
      </w:pPr>
      <w:r>
        <w:rPr/>
        <w:t>Section 10.2.3 – “…complete for Delivery LD’s when last Major Component is delivered to DDP to the Delivery Point in complete and undamaged condition…Purchaser shall have the right to inspect and/or reject damaged equipment…”</w:t>
      </w:r>
    </w:p>
    <w:p>
      <w:pPr>
        <w:pStyle w:val="FootnoteText"/>
        <w:rPr/>
      </w:pPr>
      <w:r>
        <w:rPr/>
      </w:r>
    </w:p>
    <w:p>
      <w:pPr>
        <w:pStyle w:val="FootnoteText"/>
        <w:rPr/>
      </w:pPr>
      <w:r>
        <w:rPr/>
        <w:t>Attachment 1 to Exhibit B-2 (Scope of Supply) – Purchaser responsible for offloading.</w:t>
      </w:r>
    </w:p>
    <w:p>
      <w:pPr>
        <w:pStyle w:val="FootnoteText"/>
        <w:rPr/>
      </w:pPr>
      <w:r>
        <w:rPr/>
      </w:r>
    </w:p>
    <w:p>
      <w:pPr>
        <w:pStyle w:val="FootnoteText"/>
        <w:rPr/>
      </w:pPr>
      <w:r>
        <w:rPr/>
        <w:t>Section 15.1.2 Title to Equipment – “…will pass to Purchaser immediately upon entry into the United States if not already located in the United States…”</w:t>
      </w:r>
    </w:p>
    <w:p>
      <w:pPr>
        <w:pStyle w:val="FootnoteText"/>
        <w:rPr/>
      </w:pPr>
      <w:r>
        <w:rPr/>
      </w:r>
    </w:p>
    <w:p>
      <w:pPr>
        <w:pStyle w:val="FootnoteText"/>
        <w:rPr/>
      </w:pPr>
      <w:r>
        <w:rPr/>
        <w:t>Section 15.2  Risk of Loss – “Seller shall bear the risk of loss and damage with respect to the Equipment until delivery of the Equipment to the Delivery Point in accordance with Section 3.2.1.  Seller shall be required to inspect the Equipment for damage at the Delivery Point.</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b/>
      </w:rPr>
    </w:pPr>
    <w:r>
      <w:rPr>
        <w:b/>
      </w:rPr>
      <w:t>Siemens Westinghouse 501D5A</w:t>
    </w:r>
  </w:p>
  <w:p>
    <w:pPr>
      <w:pStyle w:val="Normal"/>
      <w:rPr>
        <w:b/>
      </w:rPr>
    </w:pPr>
    <w:r>
      <w:rPr>
        <w:b/>
      </w:rPr>
      <w:t>Chronology of Events/Next Steps</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648"/>
        </w:tabs>
        <w:ind w:start="648" w:hanging="360"/>
      </w:pPr>
      <w:rPr>
        <w:rFonts w:ascii="Wingdings" w:hAnsi="Wingdings" w:cs="Wingdings" w:hint="default"/>
      </w:rPr>
    </w:lvl>
    <w:lvl w:ilvl="1">
      <w:start w:val="1"/>
      <w:numFmt w:val="bullet"/>
      <w:lvlText w:val=""/>
      <w:lvlJc w:val="start"/>
      <w:pPr>
        <w:tabs>
          <w:tab w:val="num" w:pos="1080"/>
        </w:tabs>
        <w:ind w:start="1080" w:hanging="360"/>
      </w:pPr>
      <w:rPr>
        <w:rFonts w:ascii="Symbol" w:hAnsi="Symbol" w:cs="Symbol" w:hint="default"/>
      </w:rPr>
    </w:lvl>
    <w:lvl w:ilvl="2">
      <w:start w:val="1"/>
      <w:numFmt w:val="bullet"/>
      <w:lvlText w:val=""/>
      <w:lvlJc w:val="start"/>
      <w:pPr>
        <w:tabs>
          <w:tab w:val="num" w:pos="1656"/>
        </w:tabs>
        <w:ind w:start="1656" w:hanging="576"/>
      </w:pPr>
      <w:rPr>
        <w:rFonts w:ascii="Wingdings" w:hAnsi="Wingdings" w:cs="Wingdings" w:hint="default"/>
      </w:rPr>
    </w:lvl>
    <w:lvl w:ilvl="3">
      <w:start w:val="1"/>
      <w:numFmt w:val="bullet"/>
      <w:lvlText w:val=""/>
      <w:lvlJc w:val="start"/>
      <w:pPr>
        <w:tabs>
          <w:tab w:val="num" w:pos="1440"/>
        </w:tabs>
        <w:ind w:start="1440" w:hanging="360"/>
      </w:pPr>
      <w:rPr>
        <w:rFonts w:ascii="Symbol" w:hAnsi="Symbol" w:cs="Symbol" w:hint="default"/>
      </w:rPr>
    </w:lvl>
    <w:lvl w:ilvl="4">
      <w:start w:val="1"/>
      <w:numFmt w:val="bullet"/>
      <w:lvlText w:val=""/>
      <w:lvlJc w:val="start"/>
      <w:pPr>
        <w:tabs>
          <w:tab w:val="num" w:pos="1800"/>
        </w:tabs>
        <w:ind w:start="1800" w:hanging="360"/>
      </w:pPr>
      <w:rPr>
        <w:rFonts w:ascii="Symbol" w:hAnsi="Symbol" w:cs="Symbol" w:hint="default"/>
      </w:rPr>
    </w:lvl>
    <w:lvl w:ilvl="5">
      <w:start w:val="1"/>
      <w:numFmt w:val="bullet"/>
      <w:lvlText w:val=""/>
      <w:lvlJc w:val="start"/>
      <w:pPr>
        <w:tabs>
          <w:tab w:val="num" w:pos="2160"/>
        </w:tabs>
        <w:ind w:start="2160" w:hanging="360"/>
      </w:pPr>
      <w:rPr>
        <w:rFonts w:ascii="Wingdings" w:hAnsi="Wingdings" w:cs="Wingdings" w:hint="default"/>
      </w:rPr>
    </w:lvl>
    <w:lvl w:ilvl="6">
      <w:start w:val="1"/>
      <w:numFmt w:val="bullet"/>
      <w:lvlText w:val=""/>
      <w:lvlJc w:val="start"/>
      <w:pPr>
        <w:tabs>
          <w:tab w:val="num" w:pos="2520"/>
        </w:tabs>
        <w:ind w:start="2520" w:hanging="360"/>
      </w:pPr>
      <w:rPr>
        <w:rFonts w:ascii="Wingdings" w:hAnsi="Wingdings" w:cs="Wingdings" w:hint="default"/>
      </w:rPr>
    </w:lvl>
    <w:lvl w:ilvl="7">
      <w:start w:val="1"/>
      <w:numFmt w:val="bullet"/>
      <w:lvlText w:val=""/>
      <w:lvlJc w:val="start"/>
      <w:pPr>
        <w:tabs>
          <w:tab w:val="num" w:pos="2880"/>
        </w:tabs>
        <w:ind w:start="2880" w:hanging="360"/>
      </w:pPr>
      <w:rPr>
        <w:rFonts w:ascii="Symbol" w:hAnsi="Symbol" w:cs="Symbol" w:hint="default"/>
      </w:rPr>
    </w:lvl>
    <w:lvl w:ilvl="8">
      <w:start w:val="1"/>
      <w:numFmt w:val="bullet"/>
      <w:lvlText w:val=""/>
      <w:lvlJc w:val="start"/>
      <w:pPr>
        <w:tabs>
          <w:tab w:val="num" w:pos="3240"/>
        </w:tabs>
        <w:ind w:start="3240" w:hanging="360"/>
      </w:pPr>
      <w:rPr>
        <w:rFonts w:ascii="Symbol" w:hAnsi="Symbol" w:cs="Symbol"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rFonts w:ascii="Wingdings" w:hAnsi="Wingdings" w:cs="Wingdings"/>
    </w:rPr>
  </w:style>
  <w:style w:type="character" w:styleId="WW8Num2z0">
    <w:name w:val="WW8Num2z0"/>
    <w:qFormat/>
    <w:rPr>
      <w:rFonts w:ascii="Wingdings" w:hAnsi="Wingdings" w:cs="Wingdings"/>
    </w:rPr>
  </w:style>
  <w:style w:type="character" w:styleId="WW8Num2z1">
    <w:name w:val="WW8Num2z1"/>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tyle>
  <w:style w:type="paragraph" w:styleId="BlockText">
    <w:name w:val="Block Text"/>
    <w:basedOn w:val="Normal"/>
    <w:qFormat/>
    <w:pPr>
      <w:numPr>
        <w:ilvl w:val="0"/>
        <w:numId w:val="1"/>
      </w:numPr>
      <w:spacing w:before="0" w:after="120"/>
      <w:ind w:hanging="0" w:start="0" w:end="144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162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2001-01-23T10:43:00Z</dcterms:created>
  <dc:creator>rtapsco</dc:creator>
  <dc:description/>
  <dc:language>en-CA</dc:language>
  <cp:lastModifiedBy>rtapsco</cp:lastModifiedBy>
  <dcterms:modified xsi:type="dcterms:W3CDTF">2001-01-23T14:51:00Z</dcterms:modified>
  <cp:revision>3</cp:revision>
  <dc:subject/>
  <dc:title> 3/25/00  Effective Date of Purchase Contract</dc:title>
</cp:coreProperties>
</file>