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media/image1.emf" ContentType="image/x-emf"/>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eastAsia="Times New Roman" w:cs="Times New Roman"/>
        </w:rPr>
      </w:pPr>
      <w:r>
        <w:rPr>
          <w:rFonts w:eastAsia="Times New Roman" w:cs="Times New Roman" w:ascii="Times New Roman" w:hAnsi="Times New Roman"/>
        </w:rPr>
        <w:t>ALAN Z. YUDKOWSKY (State Bar No. 194994)</w:t>
      </w:r>
    </w:p>
    <w:p>
      <w:pPr>
        <w:pStyle w:val="Normal"/>
        <w:rPr>
          <w:rFonts w:ascii="Times New Roman" w:hAnsi="Times New Roman" w:eastAsia="Times New Roman" w:cs="Times New Roman"/>
        </w:rPr>
      </w:pPr>
      <w:r>
        <w:rPr>
          <w:rFonts w:eastAsia="Times New Roman" w:cs="Times New Roman" w:ascii="Times New Roman" w:hAnsi="Times New Roman"/>
        </w:rPr>
        <w:t>PETER JAZAYERI (State Bar No. 199626)</w:t>
      </w:r>
    </w:p>
    <w:p>
      <w:pPr>
        <w:pStyle w:val="Normal"/>
        <w:rPr>
          <w:rFonts w:ascii="Times New Roman" w:hAnsi="Times New Roman" w:eastAsia="Times New Roman" w:cs="Times New Roman"/>
        </w:rPr>
      </w:pPr>
      <w:bookmarkStart w:id="0" w:name="atty"/>
      <w:bookmarkEnd w:id="0"/>
      <w:r>
        <w:rPr>
          <w:rFonts w:eastAsia="Times New Roman" w:cs="Times New Roman" w:ascii="Times New Roman" w:hAnsi="Times New Roman"/>
        </w:rPr>
        <w:t xml:space="preserve">STROOCK &amp; STROOCK &amp; LAVAN LLP </w:t>
      </w:r>
    </w:p>
    <w:p>
      <w:pPr>
        <w:pStyle w:val="Normal"/>
        <w:rPr>
          <w:rFonts w:ascii="Times New Roman" w:hAnsi="Times New Roman" w:eastAsia="Times New Roman" w:cs="Times New Roman"/>
        </w:rPr>
      </w:pPr>
      <w:r>
        <w:rPr>
          <w:rFonts w:eastAsia="Times New Roman" w:cs="Times New Roman" w:ascii="Times New Roman" w:hAnsi="Times New Roman"/>
        </w:rPr>
        <w:t>2029 Century Park East, Suite 1800</w:t>
      </w:r>
    </w:p>
    <w:p>
      <w:pPr>
        <w:pStyle w:val="Normal"/>
        <w:rPr>
          <w:rFonts w:ascii="Times New Roman" w:hAnsi="Times New Roman" w:eastAsia="Times New Roman" w:cs="Times New Roman"/>
        </w:rPr>
      </w:pPr>
      <w:r>
        <w:rPr>
          <w:rFonts w:eastAsia="Times New Roman" w:cs="Times New Roman" w:ascii="Times New Roman" w:hAnsi="Times New Roman"/>
        </w:rPr>
        <w:t>Los Angeles, California 90067-3086</w:t>
      </w:r>
    </w:p>
    <w:p>
      <w:pPr>
        <w:pStyle w:val="Normal"/>
        <w:tabs>
          <w:tab w:val="clear" w:pos="720"/>
          <w:tab w:val="left" w:pos="1080" w:leader="none"/>
        </w:tabs>
        <w:rPr>
          <w:rFonts w:ascii="Times New Roman" w:hAnsi="Times New Roman" w:eastAsia="Times New Roman" w:cs="Times New Roman"/>
          <w:spacing w:val="-10"/>
        </w:rPr>
      </w:pPr>
      <w:r>
        <w:rPr>
          <w:rFonts w:eastAsia="Times New Roman" w:cs="Times New Roman" w:ascii="Times New Roman" w:hAnsi="Times New Roman"/>
          <w:spacing w:val="-10"/>
        </w:rPr>
        <w:t>Telephone:</w:t>
        <w:tab/>
        <w:t>(310) 556-5800</w:t>
        <w:tab/>
      </w:r>
    </w:p>
    <w:p>
      <w:pPr>
        <w:pStyle w:val="Normal"/>
        <w:tabs>
          <w:tab w:val="clear" w:pos="720"/>
          <w:tab w:val="left" w:pos="1080" w:leader="none"/>
        </w:tabs>
        <w:rPr>
          <w:rFonts w:ascii="Times New Roman" w:hAnsi="Times New Roman" w:eastAsia="Times New Roman" w:cs="Times New Roman"/>
        </w:rPr>
      </w:pPr>
      <w:r>
        <w:rPr>
          <w:rFonts w:eastAsia="Times New Roman" w:cs="Times New Roman" w:ascii="Times New Roman" w:hAnsi="Times New Roman"/>
          <w:spacing w:val="-10"/>
        </w:rPr>
        <w:t>Facsimile:</w:t>
        <w:tab/>
        <w:t>(310) 556-5959</w:t>
      </w:r>
    </w:p>
    <w:p>
      <w:pPr>
        <w:pStyle w:val="Normal"/>
        <w:rPr>
          <w:rFonts w:ascii="Times New Roman" w:hAnsi="Times New Roman" w:eastAsia="Times New Roman" w:cs="Times New Roman"/>
        </w:rPr>
      </w:pPr>
      <w:r>
        <w:rPr>
          <w:rFonts w:eastAsia="Times New Roman" w:cs="Times New Roman" w:ascii="Times New Roman" w:hAnsi="Times New Roman"/>
        </w:rPr>
      </w:r>
      <w:bookmarkStart w:id="1" w:name="OfAttys"/>
      <w:bookmarkStart w:id="2" w:name="OfAttys"/>
      <w:bookmarkEnd w:id="2"/>
    </w:p>
    <w:p>
      <w:pPr>
        <w:pStyle w:val="Normal"/>
        <w:ind w:hanging="360" w:start="360" w:end="0"/>
        <w:rPr>
          <w:rFonts w:ascii="Times New Roman" w:hAnsi="Times New Roman" w:eastAsia="Times New Roman" w:cs="Times New Roman"/>
        </w:rPr>
      </w:pPr>
      <w:r>
        <w:rPr>
          <w:rFonts w:eastAsia="Times New Roman" w:cs="Times New Roman" w:ascii="Times New Roman" w:hAnsi="Times New Roman"/>
        </w:rPr>
        <w:t xml:space="preserve">Attorneys for </w:t>
      </w:r>
      <w:bookmarkStart w:id="3" w:name="Party"/>
      <w:bookmarkEnd w:id="3"/>
      <w:r>
        <w:rPr>
          <w:rFonts w:eastAsia="Times New Roman" w:cs="Times New Roman" w:ascii="Times New Roman" w:hAnsi="Times New Roman"/>
        </w:rPr>
        <w:t>Plaintiff</w:t>
        <w:br/>
        <w:t>SEMPRA ENERGY TRADING CORPORATION</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bookmarkStart w:id="4" w:name="Court"/>
      <w:bookmarkEnd w:id="4"/>
      <w:r>
        <w:rPr>
          <w:rFonts w:eastAsia="Times New Roman" w:cs="Times New Roman" w:ascii="Times New Roman" w:hAnsi="Times New Roman"/>
        </w:rPr>
        <w:t>UNITED STATES DISTRICT COURT</w:t>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bookmarkStart w:id="5" w:name="District"/>
      <w:bookmarkEnd w:id="5"/>
      <w:r>
        <w:rPr>
          <w:rFonts w:eastAsia="Times New Roman" w:cs="Times New Roman" w:ascii="Times New Roman" w:hAnsi="Times New Roman"/>
        </w:rPr>
        <w:t>CENTRAL DISTRICT OF CALIFORNIA</w:t>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r>
      <w:bookmarkStart w:id="6" w:name="Division"/>
      <w:bookmarkStart w:id="7" w:name="Division"/>
      <w:bookmarkEnd w:id="7"/>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331" w:type="dxa"/>
        <w:jc w:val="start"/>
        <w:tblInd w:w="0" w:type="dxa"/>
        <w:tblLayout w:type="fixed"/>
        <w:tblCellMar>
          <w:top w:w="0" w:type="dxa"/>
          <w:start w:w="36" w:type="dxa"/>
          <w:bottom w:w="0" w:type="dxa"/>
          <w:end w:w="36" w:type="dxa"/>
        </w:tblCellMar>
      </w:tblPr>
      <w:tblGrid>
        <w:gridCol w:w="4738"/>
        <w:gridCol w:w="158"/>
        <w:gridCol w:w="4435"/>
      </w:tblGrid>
      <w:tr>
        <w:trPr/>
        <w:tc>
          <w:tcPr>
            <w:tcW w:w="4738" w:type="dxa"/>
            <w:tcBorders>
              <w:bottom w:val="single" w:sz="6" w:space="0" w:color="000000"/>
            </w:tcBorders>
          </w:tcPr>
          <w:p>
            <w:pPr>
              <w:pStyle w:val="Normal"/>
              <w:rPr>
                <w:rFonts w:ascii="Times New Roman" w:hAnsi="Times New Roman" w:eastAsia="Times New Roman" w:cs="Times New Roman"/>
              </w:rPr>
            </w:pPr>
            <w:bookmarkStart w:id="8" w:name="pl"/>
            <w:bookmarkStart w:id="9" w:name="StartCap"/>
            <w:bookmarkEnd w:id="8"/>
            <w:bookmarkEnd w:id="9"/>
            <w:r>
              <w:rPr>
                <w:rFonts w:eastAsia="Times New Roman" w:cs="Times New Roman" w:ascii="Times New Roman" w:hAnsi="Times New Roman"/>
              </w:rPr>
              <w:t>SEMPRA ENERGY TRADING CORP.,</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tab/>
            </w:r>
            <w:bookmarkStart w:id="10" w:name="pl2"/>
            <w:bookmarkEnd w:id="10"/>
            <w:r>
              <w:rPr>
                <w:rFonts w:eastAsia="Times New Roman" w:cs="Times New Roman" w:ascii="Times New Roman" w:hAnsi="Times New Roman"/>
              </w:rPr>
              <w:t>Plaintiff,</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b/>
              <w:t>v.</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bookmarkStart w:id="11" w:name="de"/>
            <w:bookmarkEnd w:id="11"/>
            <w:r>
              <w:rPr>
                <w:rFonts w:eastAsia="Times New Roman" w:cs="Times New Roman" w:ascii="Times New Roman" w:hAnsi="Times New Roman"/>
              </w:rPr>
              <w:t>CALIFORNIA POWER EXCHANGE CO</w:t>
            </w:r>
            <w:r>
              <w:rPr>
                <w:rFonts w:eastAsia="Times New Roman" w:cs="Times New Roman" w:ascii="Times New Roman" w:hAnsi="Times New Roman"/>
              </w:rPr>
              <w:t>RPORATION,</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tab/>
            </w:r>
            <w:bookmarkStart w:id="12" w:name="de2"/>
            <w:bookmarkEnd w:id="12"/>
            <w:r>
              <w:rPr>
                <w:rFonts w:eastAsia="Times New Roman" w:cs="Times New Roman" w:ascii="Times New Roman" w:hAnsi="Times New Roman"/>
              </w:rPr>
              <w:t>Defendant.</w:t>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160" w:leader="none"/>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right" w:pos="4500" w:leader="none"/>
              </w:tabs>
              <w:rPr>
                <w:rFonts w:ascii="Times New Roman" w:hAnsi="Times New Roman" w:eastAsia="Times New Roman" w:cs="Times New Roman"/>
              </w:rPr>
            </w:pPr>
            <w:r>
              <w:rPr>
                <w:rFonts w:eastAsia="Times New Roman" w:cs="Times New Roman" w:ascii="Times New Roman" w:hAnsi="Times New Roman"/>
              </w:rPr>
            </w:r>
          </w:p>
        </w:tc>
        <w:tc>
          <w:tcPr>
            <w:tcW w:w="158" w:type="dxa"/>
            <w:tcBorders/>
          </w:tcPr>
          <w:p>
            <w:pPr>
              <w:pStyle w:val="Normal"/>
              <w:ind w:end="36"/>
              <w:rPr>
                <w:rFonts w:ascii="Times New Roman" w:hAnsi="Times New Roman" w:eastAsia="Times New Roman" w:cs="Times New Roman"/>
              </w:rPr>
            </w:pPr>
            <w:bookmarkStart w:id="13" w:name="CAPld"/>
            <w:bookmarkStart w:id="14" w:name="par"/>
            <w:bookmarkEnd w:id="13"/>
            <w:bookmarkEnd w:id="14"/>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p>
            <w:pPr>
              <w:pStyle w:val="Normal"/>
              <w:ind w:end="36"/>
              <w:rPr>
                <w:rFonts w:ascii="Times New Roman" w:hAnsi="Times New Roman" w:eastAsia="Times New Roman" w:cs="Times New Roman"/>
              </w:rPr>
            </w:pPr>
            <w:r>
              <w:rPr>
                <w:rFonts w:eastAsia="Times New Roman" w:cs="Times New Roman" w:ascii="Times New Roman" w:hAnsi="Times New Roman"/>
              </w:rPr>
              <w:t>))))))))))))</w:t>
            </w:r>
          </w:p>
        </w:tc>
        <w:tc>
          <w:tcPr>
            <w:tcW w:w="4435" w:type="dxa"/>
            <w:tcBorders/>
          </w:tcPr>
          <w:p>
            <w:pPr>
              <w:pStyle w:val="Normal"/>
              <w:tabs>
                <w:tab w:val="clear" w:pos="720"/>
                <w:tab w:val="left" w:pos="1584" w:leader="none"/>
              </w:tabs>
              <w:ind w:start="288" w:end="0"/>
              <w:rPr>
                <w:rFonts w:ascii="Times New Roman" w:hAnsi="Times New Roman" w:eastAsia="Times New Roman" w:cs="Times New Roman"/>
              </w:rPr>
            </w:pPr>
            <w:r>
              <w:rPr>
                <w:rFonts w:eastAsia="Times New Roman" w:cs="Times New Roman" w:ascii="Times New Roman" w:hAnsi="Times New Roman"/>
              </w:rPr>
              <w:t xml:space="preserve">Case No. </w:t>
            </w:r>
            <w:bookmarkStart w:id="15" w:name="no"/>
            <w:bookmarkEnd w:id="15"/>
          </w:p>
          <w:p>
            <w:pPr>
              <w:pStyle w:val="Normal"/>
              <w:tabs>
                <w:tab w:val="clear" w:pos="720"/>
                <w:tab w:val="left" w:pos="1584" w:leader="none"/>
              </w:tabs>
              <w:ind w:start="288"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584" w:leader="none"/>
              </w:tabs>
              <w:ind w:start="288" w:end="0"/>
              <w:rPr>
                <w:rFonts w:ascii="Times New Roman" w:hAnsi="Times New Roman" w:eastAsia="Times New Roman" w:cs="Times New Roman"/>
              </w:rPr>
            </w:pPr>
            <w:r>
              <w:rPr>
                <w:rFonts w:eastAsia="Times New Roman" w:cs="Times New Roman" w:ascii="Times New Roman" w:hAnsi="Times New Roman"/>
              </w:rPr>
            </w:r>
            <w:bookmarkStart w:id="16" w:name="Judge"/>
            <w:bookmarkStart w:id="17" w:name="Judge"/>
            <w:bookmarkEnd w:id="17"/>
          </w:p>
          <w:p>
            <w:pPr>
              <w:pStyle w:val="Normal"/>
              <w:tabs>
                <w:tab w:val="clear" w:pos="720"/>
                <w:tab w:val="left" w:pos="1584" w:leader="none"/>
              </w:tabs>
              <w:ind w:start="288" w:end="0"/>
              <w:rPr>
                <w:rFonts w:ascii="Times New Roman" w:hAnsi="Times New Roman" w:eastAsia="Times New Roman" w:cs="Times New Roman"/>
                <w:b/>
                <w:bCs/>
              </w:rPr>
            </w:pPr>
            <w:r>
              <w:rPr>
                <w:rFonts w:eastAsia="Times New Roman" w:cs="Times New Roman" w:ascii="Times New Roman" w:hAnsi="Times New Roman"/>
                <w:b/>
                <w:bCs/>
              </w:rPr>
              <w:t>COMPLAINT FOR:</w:t>
            </w:r>
          </w:p>
          <w:p>
            <w:pPr>
              <w:pStyle w:val="Normal"/>
              <w:tabs>
                <w:tab w:val="clear" w:pos="720"/>
                <w:tab w:val="left" w:pos="1584" w:leader="none"/>
              </w:tabs>
              <w:ind w:start="288" w:end="0"/>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1584" w:leader="none"/>
              </w:tabs>
              <w:ind w:start="288" w:end="0"/>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level5 \* ARABIC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1</w:t>
            </w:r>
            <w:r>
              <w:rPr>
                <w:b/>
                <w:bCs/>
                <w:rFonts w:eastAsia="Times New Roman" w:cs="Times New Roman" w:ascii="Times New Roman" w:hAnsi="Times New Roman"/>
              </w:rPr>
              <w:fldChar w:fldCharType="end"/>
            </w:r>
            <w:r>
              <w:rPr>
                <w:rFonts w:eastAsia="Times New Roman" w:cs="Times New Roman" w:ascii="Times New Roman" w:hAnsi="Times New Roman"/>
                <w:b/>
                <w:bCs/>
              </w:rPr>
              <w:t>.  ACCOUNTING;</w:t>
            </w:r>
          </w:p>
          <w:p>
            <w:pPr>
              <w:pStyle w:val="Normal"/>
              <w:tabs>
                <w:tab w:val="clear" w:pos="720"/>
                <w:tab w:val="left" w:pos="1584" w:leader="none"/>
              </w:tabs>
              <w:ind w:start="288" w:end="0"/>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level5 \* ARABIC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2</w:t>
            </w:r>
            <w:r>
              <w:rPr>
                <w:b/>
                <w:bCs/>
                <w:rFonts w:eastAsia="Times New Roman" w:cs="Times New Roman" w:ascii="Times New Roman" w:hAnsi="Times New Roman"/>
              </w:rPr>
              <w:fldChar w:fldCharType="end"/>
            </w:r>
            <w:r>
              <w:rPr>
                <w:rFonts w:eastAsia="Times New Roman" w:cs="Times New Roman" w:ascii="Times New Roman" w:hAnsi="Times New Roman"/>
                <w:b/>
                <w:bCs/>
              </w:rPr>
              <w:t>.  DECLARATORY RELIEF; and</w:t>
            </w:r>
          </w:p>
          <w:p>
            <w:pPr>
              <w:pStyle w:val="Normal"/>
              <w:tabs>
                <w:tab w:val="clear" w:pos="720"/>
                <w:tab w:val="left" w:pos="1584" w:leader="none"/>
              </w:tabs>
              <w:ind w:start="288" w:end="0"/>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level5 \* ARABIC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3</w:t>
            </w:r>
            <w:r>
              <w:rPr>
                <w:b/>
                <w:bCs/>
                <w:rFonts w:eastAsia="Times New Roman" w:cs="Times New Roman" w:ascii="Times New Roman" w:hAnsi="Times New Roman"/>
              </w:rPr>
              <w:fldChar w:fldCharType="end"/>
            </w:r>
            <w:r>
              <w:rPr>
                <w:rFonts w:eastAsia="Times New Roman" w:cs="Times New Roman" w:ascii="Times New Roman" w:hAnsi="Times New Roman"/>
                <w:b/>
                <w:bCs/>
              </w:rPr>
              <w:t>.  INJUNCTIVE RELIEF</w:t>
            </w:r>
          </w:p>
          <w:p>
            <w:pPr>
              <w:pStyle w:val="Normal"/>
              <w:rPr>
                <w:rFonts w:ascii="Times New Roman" w:hAnsi="Times New Roman" w:eastAsia="Times New Roman" w:cs="Times New Roman"/>
                <w:b/>
                <w:bCs/>
              </w:rPr>
            </w:pPr>
            <w:r>
              <w:rPr>
                <w:rFonts w:eastAsia="Times New Roman" w:cs="Times New Roman" w:ascii="Times New Roman" w:hAnsi="Times New Roman"/>
                <w:b/>
                <w:bCs/>
              </w:rPr>
            </w:r>
            <w:bookmarkStart w:id="18" w:name="CAHearingInfo"/>
            <w:bookmarkStart w:id="19" w:name="title"/>
            <w:bookmarkStart w:id="20" w:name="CAHearingInfo"/>
            <w:bookmarkStart w:id="21" w:name="title"/>
            <w:bookmarkEnd w:id="20"/>
            <w:bookmarkEnd w:id="21"/>
          </w:p>
        </w:tc>
      </w:tr>
    </w:tbl>
    <w:p>
      <w:pPr>
        <w:sectPr>
          <w:headerReference w:type="default" r:id="rId2"/>
          <w:headerReference w:type="first" r:id="rId3"/>
          <w:footerReference w:type="default" r:id="rId4"/>
          <w:footerReference w:type="first" r:id="rId5"/>
          <w:type w:val="nextPage"/>
          <w:pgSz w:w="12240" w:h="15840"/>
          <w:pgMar w:left="1944" w:right="792" w:gutter="0" w:header="0" w:top="1152" w:footer="720" w:bottom="1296"/>
          <w:pgNumType w:fmt="decimal"/>
          <w:formProt w:val="false"/>
          <w:titlePg/>
          <w:textDirection w:val="lrTb"/>
        </w:sectPr>
      </w:pPr>
    </w:p>
    <w:p>
      <w:pPr>
        <w:pStyle w:val="Normal"/>
        <w:spacing w:lineRule="exact" w:line="480"/>
        <w:ind w:firstLine="720" w:end="0"/>
        <w:jc w:val="both"/>
        <w:rPr>
          <w:rFonts w:ascii="Times New Roman" w:hAnsi="Times New Roman" w:eastAsia="Times New Roman" w:cs="Times New Roman"/>
          <w:b/>
          <w:bCs/>
        </w:rPr>
      </w:pPr>
      <w:bookmarkStart w:id="22" w:name="StartOfDoc"/>
      <w:bookmarkEnd w:id="22"/>
      <w:r>
        <w:rPr>
          <w:rFonts w:eastAsia="Times New Roman" w:cs="Times New Roman" w:ascii="Times New Roman" w:hAnsi="Times New Roman"/>
        </w:rPr>
        <w:t>Plaintiff SEMPRA ENERGY TRADING CORP. (“Sempra Energy Trading”), for its co</w:t>
      </w:r>
      <w:r>
        <w:rPr>
          <w:rFonts w:eastAsia="Times New Roman" w:cs="Times New Roman" w:ascii="Times New Roman" w:hAnsi="Times New Roman"/>
        </w:rPr>
        <w:t>mplaint herein, alleges:</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JURISDICTION AND VENUE</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w:t>
      </w:r>
      <w:r>
        <w:rPr>
          <w:rFonts w:eastAsia="Times New Roman" w:cs="Times New Roman" w:ascii="Times New Roman" w:hAnsi="Times New Roman"/>
        </w:rPr>
        <w:fldChar w:fldCharType="end"/>
      </w:r>
      <w:r>
        <w:rPr>
          <w:rFonts w:eastAsia="Times New Roman" w:cs="Times New Roman" w:ascii="Times New Roman" w:hAnsi="Times New Roman"/>
        </w:rPr>
        <w:t>.</w:t>
        <w:tab/>
        <w:t>This Court has jurisdiction over the parties and the subject matter of this action pursuant to section 317 of the Federal Power Act, 16 U.S.C. § 825p, which gives the federal district courts “exclusive jurisdiction of … all suits in equity and actions at law brought to enforce any liability or duty created by, or to enjoin any violation of, [the Federal Power Act] or any rule, regulation or order thereunder,” and pursuant to 28 U.S.C. § 1331, which gives the federal district courts “original jurisdiction of all civil actions arising under the … laws … of the United States.”  This Court has jurisdiction over any claims not so arising based on 28 U.S.C. § 1367, because such claims are so related to the claims within this Court’s original jurisdiction that they form part of the same case or controversy.</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w:t>
      </w:r>
      <w:r>
        <w:rPr>
          <w:rFonts w:eastAsia="Times New Roman" w:cs="Times New Roman" w:ascii="Times New Roman" w:hAnsi="Times New Roman"/>
        </w:rPr>
        <w:fldChar w:fldCharType="end"/>
      </w:r>
      <w:r>
        <w:rPr>
          <w:rFonts w:eastAsia="Times New Roman" w:cs="Times New Roman" w:ascii="Times New Roman" w:hAnsi="Times New Roman"/>
        </w:rPr>
        <w:t>.</w:t>
        <w:tab/>
        <w:t>This Court also has jurisdiction over this action pursuant to 28 U.S.C. § 1332, because plaintiff and defendant are citizens of different states, and the matter in controversy exceeds the sum or value of $75,000.</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w:t>
      </w:r>
      <w:r>
        <w:rPr>
          <w:rFonts w:eastAsia="Times New Roman" w:cs="Times New Roman" w:ascii="Times New Roman" w:hAnsi="Times New Roman"/>
        </w:rPr>
        <w:fldChar w:fldCharType="end"/>
      </w:r>
      <w:r>
        <w:rPr>
          <w:rFonts w:eastAsia="Times New Roman" w:cs="Times New Roman" w:ascii="Times New Roman" w:hAnsi="Times New Roman"/>
        </w:rPr>
        <w:t>.</w:t>
        <w:tab/>
        <w:t>Declaratory relief and injunctive relief are authorized by 28 U.S.C. §§ 2201 and 2202.</w:t>
      </w:r>
    </w:p>
    <w:p>
      <w:pPr>
        <w:pStyle w:val="Normal"/>
        <w:spacing w:lineRule="exact" w:line="480"/>
        <w:ind w:firstLine="720" w:end="0"/>
        <w:jc w:val="both"/>
        <w:rPr>
          <w:rFonts w:ascii="Times New Roman" w:hAnsi="Times New Roman" w:eastAsia="Times New Roman" w:cs="Times New Roman"/>
          <w:b/>
          <w:bCs/>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w:t>
      </w:r>
      <w:r>
        <w:rPr>
          <w:rFonts w:eastAsia="Times New Roman" w:cs="Times New Roman" w:ascii="Times New Roman" w:hAnsi="Times New Roman"/>
        </w:rPr>
        <w:fldChar w:fldCharType="end"/>
      </w:r>
      <w:r>
        <w:rPr>
          <w:rFonts w:eastAsia="Times New Roman" w:cs="Times New Roman" w:ascii="Times New Roman" w:hAnsi="Times New Roman"/>
        </w:rPr>
        <w:t>.</w:t>
        <w:tab/>
        <w:t>Venue is proper in this district pursuant to 28 U.S.C. §§ 1391(b)(1) and (b)(2) because the defendant resides in this district, and a substantial part of the events or omissions giving rise to the claims occurred in this district.</w:t>
      </w:r>
    </w:p>
    <w:p>
      <w:pPr>
        <w:pStyle w:val="Normal"/>
        <w:spacing w:lineRule="exact" w:line="480"/>
        <w:jc w:val="center"/>
        <w:rPr>
          <w:rFonts w:ascii="Times New Roman" w:hAnsi="Times New Roman" w:eastAsia="Times New Roman" w:cs="Times New Roman"/>
        </w:rPr>
      </w:pPr>
      <w:r>
        <w:rPr>
          <w:rFonts w:eastAsia="Times New Roman" w:cs="Times New Roman" w:ascii="Times New Roman" w:hAnsi="Times New Roman"/>
          <w:b/>
          <w:bCs/>
        </w:rPr>
        <w:t>THE PARTIES</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5</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Plaintiff Sempra Energy Trading is a corporation organized and existing under the laws of the State of Delaware with its principal place of business in Stamford, Connecticut.  Sempra Energy Trading is a subsidiary of Sempra Energy and is a wholesale energy trading company that is engaged in marketing and trading physical and financial energy products, including natural gas, power, crude oil and associated commodities.  Sempra Energy Trading is a “PX Participant” within the meaning of the California Power Exchange Corporation FERC Electric Service Tariff No. 2, effective June 7, 2000. </w:t>
      </w:r>
    </w:p>
    <w:p>
      <w:pPr>
        <w:pStyle w:val="Normal"/>
        <w:spacing w:lineRule="exact" w:line="480"/>
        <w:ind w:firstLine="720" w:end="0"/>
        <w:jc w:val="both"/>
        <w:rPr>
          <w:rFonts w:ascii="Times New Roman" w:hAnsi="Times New Roman" w:eastAsia="Times New Roman" w:cs="Times New Roman"/>
          <w:b/>
          <w:bCs/>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6</w:t>
      </w:r>
      <w:r>
        <w:rPr>
          <w:rFonts w:eastAsia="Times New Roman" w:cs="Times New Roman" w:ascii="Times New Roman" w:hAnsi="Times New Roman"/>
        </w:rPr>
        <w:fldChar w:fldCharType="end"/>
      </w:r>
      <w:r>
        <w:rPr>
          <w:rFonts w:eastAsia="Times New Roman" w:cs="Times New Roman" w:ascii="Times New Roman" w:hAnsi="Times New Roman"/>
        </w:rPr>
        <w:t>.</w:t>
        <w:tab/>
        <w:t>Defendant California Power Exchange Corporation (the “CalPX”) is a nonprofit corporation, incorporated under the laws of the State of California with its principal place of business in the City of Pasadena, County of Los Angeles, California.  The CalPX was established by California Assembly Bill 1890, 1996 Cal. Stat., ch. 854 (“AB 1890”), as part of the restructuring of the electric utility industry in California for the primary purpose of providing an electrical energy market for all suppliers and purchasers of electrical energy in California.  The CalPX is a public utility as defined in Section 201(e) of the Federal Power Act, 16 U.S.C. § 824(e).  It operates pursuant to a tariff filed with the Federal Energy Regulatory Commission (“FERC”).  On information and belief, the CalPX is insolvent, and it effectively has ceased operations.</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BACKGROUND</w:t>
      </w:r>
    </w:p>
    <w:p>
      <w:pPr>
        <w:pStyle w:val="Normal"/>
        <w:spacing w:lineRule="exact" w:line="480"/>
        <w:jc w:val="both"/>
        <w:rPr/>
      </w:pPr>
      <w:r>
        <w:rPr>
          <w:rFonts w:eastAsia="Times New Roman" w:cs="Times New Roman" w:ascii="Times New Roman" w:hAnsi="Times New Roman"/>
        </w:rPr>
        <w:tab/>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7</w:t>
      </w:r>
      <w:r>
        <w:rPr>
          <w:rFonts w:eastAsia="Times New Roman" w:cs="Times New Roman" w:ascii="Times New Roman" w:hAnsi="Times New Roman"/>
        </w:rPr>
        <w:fldChar w:fldCharType="end"/>
      </w:r>
      <w:r>
        <w:rPr>
          <w:rFonts w:eastAsia="Times New Roman" w:cs="Times New Roman" w:ascii="Times New Roman" w:hAnsi="Times New Roman"/>
        </w:rPr>
        <w:t>.</w:t>
        <w:tab/>
        <w:t>This action arises out of a series of cascading</w:t>
      </w:r>
      <w:r>
        <w:rPr>
          <w:rFonts w:eastAsia="Times New Roman" w:cs="Times New Roman" w:ascii="Times New Roman" w:hAnsi="Times New Roman"/>
          <w:b/>
          <w:bCs/>
        </w:rPr>
        <w:t xml:space="preserve"> </w:t>
      </w:r>
      <w:r>
        <w:rPr>
          <w:rFonts w:eastAsia="Times New Roman" w:cs="Times New Roman" w:ascii="Times New Roman" w:hAnsi="Times New Roman"/>
        </w:rPr>
        <w:t>assessments which are being made, and will continue to be made, against participants in the California Power Exchange market as a result of the continuing default of California’s failing utilities, Southern California Edison (“SCE”) and Pacific Gas &amp; Electric (“PG&amp;E”).  The genesis of this “death spiral” of assessments can be found in the deregulation of the electric utility industry in 1996.</w:t>
      </w:r>
    </w:p>
    <w:p>
      <w:pPr>
        <w:pStyle w:val="Normal"/>
        <w:spacing w:lineRule="exact" w:line="480"/>
        <w:jc w:val="both"/>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LEVEL6 \* ALPHABETIC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A</w:t>
      </w:r>
      <w:r>
        <w:rPr>
          <w:b/>
          <w:bCs/>
          <w:rFonts w:eastAsia="Times New Roman" w:cs="Times New Roman" w:ascii="Times New Roman" w:hAnsi="Times New Roman"/>
        </w:rPr>
        <w:fldChar w:fldCharType="end"/>
      </w:r>
      <w:r>
        <w:rPr>
          <w:rFonts w:eastAsia="Times New Roman" w:cs="Times New Roman" w:ascii="Times New Roman" w:hAnsi="Times New Roman"/>
          <w:b/>
          <w:bCs/>
        </w:rPr>
        <w:t>.</w:t>
        <w:tab/>
        <w:t>Assembly Bill 1890:  The Creation of the CalPX and the PX Markets.</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8</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At that time, the California State Assembly enacted AB 1890, which was designed to promote competition in the generation and sale of electricity.  This legislation replaced the traditional system of setting retail rates for electricity based on a regulatory determination of the cost of generating electricity with a system in which wholesale prices would be set through two basic markets managed and operated by the CalPX.  The first of these markets is known as the “Core Market,” in which electricity is bought and sold on an hour-ahead and day-ahead basis.  The second market is known as the California Trading System or “Block Forward Market,” in which longer term contracts are negotiated for future deliveries of electricity.  (The Core Market and the Block Forward Market collectively are referred to herein as the “PX Markets.”)  The Core Market is governed by California Power Exchange FERC Electric Service Tariff No. 2, First Revised Volume No. 2, effective August 1, 2000 (the “Core Market Tariff”).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9</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As enacted, AB 1890 provided that wholesale prices in the PX Markets were to be set through an auction process in which bids for the supply of electricity matched with bids for demand to produce a market-clearing price at which all sales in a given round are concluded.  The prices for all retail electricity sold by utilities such as SCE and PG&amp;E, on the other hand, were temporarily frozen at rates prevailing in April 1996.  This provision was based on the apparently erroneous legislative assumption that these frozen retail rates would be above market and would thereby allow the utilities a limited opportunity to recover their “stranded costs,” </w:t>
      </w:r>
      <w:r>
        <w:rPr>
          <w:rFonts w:eastAsia="Times New Roman" w:cs="Times New Roman" w:ascii="Times New Roman" w:hAnsi="Times New Roman"/>
          <w:i/>
          <w:iCs/>
        </w:rPr>
        <w:t>i.e.</w:t>
      </w:r>
      <w:r>
        <w:rPr>
          <w:rFonts w:eastAsia="Times New Roman" w:cs="Times New Roman" w:ascii="Times New Roman" w:hAnsi="Times New Roman"/>
        </w:rPr>
        <w:t>, their historic investments in generation facilities, preexisting contracts to purchase power from independent power producers and other utilities, and generation-related costs that might become unrecoverable as a result of the introduction of competition into the market.  Under AB 1890, the freeze will terminate when the utilities have recovered their stranded costs, or on March 31, 2002, whichever date arrives sooner.</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10</w:t>
      </w:r>
      <w:r>
        <w:rPr>
          <w:rFonts w:eastAsia="Times New Roman" w:cs="Times New Roman" w:ascii="Times New Roman" w:hAnsi="Times New Roman"/>
        </w:rPr>
        <w:fldChar w:fldCharType="end"/>
      </w:r>
      <w:r>
        <w:rPr>
          <w:rFonts w:eastAsia="Times New Roman" w:cs="Times New Roman" w:ascii="Times New Roman" w:hAnsi="Times New Roman"/>
        </w:rPr>
        <w:t>.</w:t>
        <w:tab/>
        <w:t>In addition to having their retail rates frozen, SCE and PG&amp;E were also required by AB 1890, as implemented, to purchase all of the electricity they needed to supply their retail customers through the PX Markets.  Other PX Participants, such as Sempra Energy Trading, were allowed to buy and sell in the PX Markets on a voluntary basis, provided they met certain minimum creditworthiness standards and signed a participation agreement incorporating the terms of the governing tariffs.</w:t>
      </w:r>
    </w:p>
    <w:p>
      <w:pPr>
        <w:pStyle w:val="StandardL1"/>
        <w:widowControl/>
        <w:tabs>
          <w:tab w:val="clear" w:pos="1440"/>
        </w:tabs>
        <w:ind w:hanging="0" w:end="0"/>
        <w:jc w:val="both"/>
        <w:rPr>
          <w:rFonts w:ascii="Times New Roman" w:hAnsi="Times New Roman" w:eastAsia="Times New Roman" w:cs="Times New Roman"/>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LEVEL6 \* ALPHABETIC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B</w:t>
      </w:r>
      <w:r>
        <w:rPr>
          <w:b/>
          <w:bCs/>
          <w:rFonts w:eastAsia="Times New Roman" w:cs="Times New Roman" w:ascii="Times New Roman" w:hAnsi="Times New Roman"/>
        </w:rPr>
        <w:fldChar w:fldCharType="end"/>
      </w:r>
      <w:r>
        <w:rPr>
          <w:rFonts w:eastAsia="Times New Roman" w:cs="Times New Roman" w:ascii="Times New Roman" w:hAnsi="Times New Roman"/>
          <w:b/>
          <w:bCs/>
        </w:rPr>
        <w:t>.</w:t>
        <w:tab/>
        <w:t>Sempra Energy Trading’s Participation Agreement with the CalPX.</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11</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On or about March 19, 1998, Sempra Energy Trading entered into such a participation agreement with the CalPX (the “Participation Agreement”).  (A true and correct copy of the Participation Agreement is annexed hereto as Exhibit “A” and is incorporated herein by this reference.)  Pursuant to the Participation Agreement, Sempra Energy Trading, </w:t>
      </w:r>
      <w:r>
        <w:rPr>
          <w:rFonts w:eastAsia="Times New Roman" w:cs="Times New Roman" w:ascii="Times New Roman" w:hAnsi="Times New Roman"/>
          <w:i/>
          <w:iCs/>
        </w:rPr>
        <w:t>inter alia,</w:t>
      </w:r>
      <w:r>
        <w:rPr>
          <w:rFonts w:eastAsia="Times New Roman" w:cs="Times New Roman" w:ascii="Times New Roman" w:hAnsi="Times New Roman"/>
        </w:rPr>
        <w:t xml:space="preserve"> agreed to trade energy through the Core Market under the terms and conditions set forth in the Core Market Tariff.  The Core Market Tariff, in turn, required each PX Participant to provide evidence of its solvency and creditworthiness, not to be in default of any of its obligations to the CalPX, and to maintain collateral sufficient to cover its market activities, depending on the credit rating assigned to it by the CalPX.  </w:t>
      </w:r>
      <w:r>
        <w:rPr>
          <w:rFonts w:eastAsia="Times New Roman" w:cs="Times New Roman" w:ascii="Times New Roman" w:hAnsi="Times New Roman"/>
          <w:i/>
          <w:iCs/>
        </w:rPr>
        <w:t>See</w:t>
      </w:r>
      <w:r>
        <w:rPr>
          <w:rFonts w:eastAsia="Times New Roman" w:cs="Times New Roman" w:ascii="Times New Roman" w:hAnsi="Times New Roman"/>
        </w:rPr>
        <w:t xml:space="preserve"> California Power Exch. Corp. FERC Elec. Serv. Tariff No. 2, eff. June 7, 2000, PX Tariff Schedule 2 §§ 1-2.  Among the forms of collateral to be posted were irrevocable letters of credit, cash deposits, or surety bonds.  </w:t>
      </w:r>
      <w:r>
        <w:rPr>
          <w:rFonts w:eastAsia="Times New Roman" w:cs="Times New Roman" w:ascii="Times New Roman" w:hAnsi="Times New Roman"/>
          <w:i/>
          <w:iCs/>
        </w:rPr>
        <w:t>See id.</w:t>
      </w:r>
      <w:r>
        <w:rPr>
          <w:rFonts w:eastAsia="Times New Roman" w:cs="Times New Roman" w:ascii="Times New Roman" w:hAnsi="Times New Roman"/>
        </w:rPr>
        <w:t xml:space="preserve"> at § 2.1.</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12</w:t>
      </w:r>
      <w:r>
        <w:rPr>
          <w:rFonts w:eastAsia="Times New Roman" w:cs="Times New Roman" w:ascii="Times New Roman" w:hAnsi="Times New Roman"/>
        </w:rPr>
        <w:fldChar w:fldCharType="end"/>
      </w:r>
      <w:r>
        <w:rPr>
          <w:rFonts w:eastAsia="Times New Roman" w:cs="Times New Roman" w:ascii="Times New Roman" w:hAnsi="Times New Roman"/>
        </w:rPr>
        <w:t>.</w:t>
        <w:tab/>
        <w:t>As a result, on or about March 23, 2000, Sempra Energy Trading posted a letter of credit (the “First LC”), number 3024395, with Bank of America in the amount of $500,000.  The First LC was amended on April 21, 2000 to increase the amount to $1 million and again, on January 24, 2001, to increase the amount to $2 million.  In addition, on January 19, 2001, Sempra Energy Trading posted a second letter of credit, number S9703060, with Standard Chartered Bank in the amount of $5 million (the “Second LC” and, together with the First LC, the “Letters of Credit”).  Thus, Sempra Energy Trading’s obligations to the CalPX are secured in the aggregate total of $7 million.</w:t>
      </w:r>
    </w:p>
    <w:p>
      <w:pPr>
        <w:pStyle w:val="Normal"/>
        <w:spacing w:lineRule="exact" w:line="480"/>
        <w:jc w:val="both"/>
        <w:rPr>
          <w:rFonts w:ascii="Times New Roman" w:hAnsi="Times New Roman" w:eastAsia="Times New Roman" w:cs="Times New Roman"/>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LEVEL6 \* ALPHABETIC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C</w:t>
      </w:r>
      <w:r>
        <w:rPr>
          <w:b/>
          <w:bCs/>
          <w:rFonts w:eastAsia="Times New Roman" w:cs="Times New Roman" w:ascii="Times New Roman" w:hAnsi="Times New Roman"/>
        </w:rPr>
        <w:fldChar w:fldCharType="end"/>
      </w:r>
      <w:r>
        <w:rPr>
          <w:rFonts w:eastAsia="Times New Roman" w:cs="Times New Roman" w:ascii="Times New Roman" w:hAnsi="Times New Roman"/>
          <w:b/>
          <w:bCs/>
        </w:rPr>
        <w:t>.</w:t>
        <w:tab/>
        <w:t>The ISO Market.</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13</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To allow for the delivery of electricity bought and sold on the PX Markets, AB 1890 also opened access to the transmission facilities owned by SCE and PG&amp;E.  Although the utilities continued to own such facilities, the California Independent System Operator Corporation (the “ISO”) was created to operate and manage most of the state’s power grid.  California’s power grid is a network of long-distance, high-voltage transmission lines and substations that carry bulk electricity to local utilities for distribution to their customers.  The ISO is a California nonprofit public benefit corporation.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14</w:t>
      </w:r>
      <w:r>
        <w:rPr>
          <w:rFonts w:eastAsia="Times New Roman" w:cs="Times New Roman" w:ascii="Times New Roman" w:hAnsi="Times New Roman"/>
        </w:rPr>
        <w:fldChar w:fldCharType="end"/>
      </w:r>
      <w:r>
        <w:rPr>
          <w:rFonts w:eastAsia="Times New Roman" w:cs="Times New Roman" w:ascii="Times New Roman" w:hAnsi="Times New Roman"/>
        </w:rPr>
        <w:t>.</w:t>
        <w:tab/>
        <w:t>Along with operating the power grid, the ISO acts as a clearinghouse for transactions when energy is consumed.  In other words, the ISO is responsible for balancing the transmission grid by ensuring that scheduled energy purchases match the actual demand.  In the event of an excess or shortfall in demand, the ISO is empowered to rectify the imbalance by purchasing or selling energy on a real-time basis.  The market on which the ISO trades in such “imbalance energy” is termed the “Real-Time Imbalance Market” (the “ISO Market”) and is separate from the PX Markets.  Scheduling Coordinators, acting as agents for suppliers or consumers operating in the ISO Market, are either billed for the excess energy needed to meet their demand or paid for any excess.  The CalPX acts as a Scheduling Coordinator on behalf of certain PX Participants, including Sempra Energy Trading, with the ISO for purchases of imbalance energy in the ISO Market.</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15</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Among other things, the ISO also is responsible for calculating, accounting for and settling imbalance energy in the Real-Time Imbalance Market within the ISO-controlled grid.  All Scheduling Coordinators are required to pay the amounts owed by them to the ISO, and all amounts owed to them are paid only through the ISO.  These obligations are set forth by tariff.  </w:t>
      </w:r>
      <w:r>
        <w:rPr>
          <w:rFonts w:eastAsia="Times New Roman" w:cs="Times New Roman" w:ascii="Times New Roman" w:hAnsi="Times New Roman"/>
          <w:i/>
          <w:iCs/>
        </w:rPr>
        <w:t>See</w:t>
      </w:r>
      <w:r>
        <w:rPr>
          <w:rFonts w:eastAsia="Times New Roman" w:cs="Times New Roman" w:ascii="Times New Roman" w:hAnsi="Times New Roman"/>
        </w:rPr>
        <w:t xml:space="preserve"> ISO FERC Electric Tariff, First Replacement Vol. No. 1, effective October 13, 2000 (the “ISO Tariff”), Art. 11.  If the Scheduling Coordinator fails to pay these amounts, it is the ISO — not the Scheduling Coordinator — who may invoke the remedies set forth in the ISO Tariff.  </w:t>
      </w:r>
      <w:r>
        <w:rPr>
          <w:rFonts w:eastAsia="Times New Roman" w:cs="Times New Roman" w:ascii="Times New Roman" w:hAnsi="Times New Roman"/>
          <w:i/>
          <w:iCs/>
        </w:rPr>
        <w:t>See id.</w:t>
      </w:r>
      <w:r>
        <w:rPr>
          <w:rFonts w:eastAsia="Times New Roman" w:cs="Times New Roman" w:ascii="Times New Roman" w:hAnsi="Times New Roman"/>
        </w:rPr>
        <w:t xml:space="preserve"> § 11.12 (“Non-payment by a Scheduling Coordinator”).</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16</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This distinction between the CalPX’s role in the PX Markets and in the ISO Market is critical:  whereas the Core Market Tariff charges the CalPX with the responsibility for </w:t>
      </w:r>
      <w:r>
        <w:rPr>
          <w:rFonts w:eastAsia="Times New Roman" w:cs="Times New Roman" w:ascii="Times New Roman" w:hAnsi="Times New Roman"/>
          <w:i/>
          <w:iCs/>
        </w:rPr>
        <w:t>operating</w:t>
      </w:r>
      <w:r>
        <w:rPr>
          <w:rFonts w:eastAsia="Times New Roman" w:cs="Times New Roman" w:ascii="Times New Roman" w:hAnsi="Times New Roman"/>
        </w:rPr>
        <w:t xml:space="preserve"> the Core Market and grants it certain remedies as a result, the CalPX was not responsible for operating the ISO Market; rather, the CalPX acted only as a </w:t>
      </w:r>
      <w:r>
        <w:rPr>
          <w:rFonts w:eastAsia="Times New Roman" w:cs="Times New Roman" w:ascii="Times New Roman" w:hAnsi="Times New Roman"/>
          <w:i/>
          <w:iCs/>
        </w:rPr>
        <w:t>Scheduling Coordinator</w:t>
      </w:r>
      <w:r>
        <w:rPr>
          <w:rFonts w:eastAsia="Times New Roman" w:cs="Times New Roman" w:ascii="Times New Roman" w:hAnsi="Times New Roman"/>
        </w:rPr>
        <w:t xml:space="preserve"> in the ISO Market.  As a result, CalPX does not have the authority —as a Scheduling Coordinator — to recover </w:t>
      </w:r>
      <w:r>
        <w:rPr>
          <w:rFonts w:eastAsia="Times New Roman" w:cs="Times New Roman" w:ascii="Times New Roman" w:hAnsi="Times New Roman"/>
          <w:i/>
          <w:iCs/>
        </w:rPr>
        <w:t xml:space="preserve">any </w:t>
      </w:r>
      <w:r>
        <w:rPr>
          <w:rFonts w:eastAsia="Times New Roman" w:cs="Times New Roman" w:ascii="Times New Roman" w:hAnsi="Times New Roman"/>
        </w:rPr>
        <w:t xml:space="preserve">defaults in the ISO Market.  </w:t>
      </w:r>
      <w:r>
        <w:rPr>
          <w:rFonts w:eastAsia="Times New Roman" w:cs="Times New Roman" w:ascii="Times New Roman" w:hAnsi="Times New Roman"/>
          <w:i/>
          <w:iCs/>
        </w:rPr>
        <w:t>See</w:t>
      </w:r>
      <w:r>
        <w:rPr>
          <w:rFonts w:eastAsia="Times New Roman" w:cs="Times New Roman" w:ascii="Times New Roman" w:hAnsi="Times New Roman"/>
        </w:rPr>
        <w:t xml:space="preserve"> </w:t>
      </w:r>
      <w:r>
        <w:rPr>
          <w:rFonts w:eastAsia="Times New Roman" w:cs="Times New Roman" w:ascii="Times New Roman" w:hAnsi="Times New Roman"/>
          <w:i/>
          <w:iCs/>
        </w:rPr>
        <w:t>id.</w:t>
      </w:r>
      <w:r>
        <w:rPr>
          <w:rFonts w:eastAsia="Times New Roman" w:cs="Times New Roman" w:ascii="Times New Roman" w:hAnsi="Times New Roman"/>
        </w:rPr>
        <w:t xml:space="preserve"> at § 2.2.6 (“Responsibilities of a Scheduling Coordinator”).</w:t>
      </w:r>
    </w:p>
    <w:p>
      <w:pPr>
        <w:pStyle w:val="StandardL1"/>
        <w:widowControl/>
        <w:tabs>
          <w:tab w:val="clear" w:pos="1440"/>
        </w:tabs>
        <w:ind w:hanging="0" w:end="0"/>
        <w:jc w:val="both"/>
        <w:rPr>
          <w:rFonts w:ascii="Times New Roman" w:hAnsi="Times New Roman" w:eastAsia="Times New Roman" w:cs="Times New Roman"/>
        </w:rPr>
      </w:pPr>
      <w:r>
        <w:rPr>
          <w:rFonts w:eastAsia="Times New Roman" w:cs="Times New Roman" w:ascii="Times New Roman" w:hAnsi="Times New Roman"/>
          <w:b/>
          <w:bCs/>
        </w:rPr>
        <w:fldChar w:fldCharType="begin"/>
      </w:r>
      <w:r>
        <w:rPr>
          <w:b/>
          <w:bCs/>
          <w:rFonts w:eastAsia="Times New Roman" w:cs="Times New Roman" w:ascii="Times New Roman" w:hAnsi="Times New Roman"/>
        </w:rPr>
        <w:instrText xml:space="preserve"> SEQ LEVEL6 \* ALPHABETIC </w:instrText>
      </w:r>
      <w:r>
        <w:rPr>
          <w:b/>
          <w:bCs/>
          <w:rFonts w:eastAsia="Times New Roman" w:cs="Times New Roman" w:ascii="Times New Roman" w:hAnsi="Times New Roman"/>
        </w:rPr>
        <w:fldChar w:fldCharType="separate"/>
      </w:r>
      <w:r>
        <w:rPr>
          <w:b/>
          <w:bCs/>
          <w:rFonts w:eastAsia="Times New Roman" w:cs="Times New Roman" w:ascii="Times New Roman" w:hAnsi="Times New Roman"/>
        </w:rPr>
        <w:t>D</w:t>
      </w:r>
      <w:r>
        <w:rPr>
          <w:b/>
          <w:bCs/>
          <w:rFonts w:eastAsia="Times New Roman" w:cs="Times New Roman" w:ascii="Times New Roman" w:hAnsi="Times New Roman"/>
        </w:rPr>
        <w:fldChar w:fldCharType="end"/>
      </w:r>
      <w:r>
        <w:rPr>
          <w:rFonts w:eastAsia="Times New Roman" w:cs="Times New Roman" w:ascii="Times New Roman" w:hAnsi="Times New Roman"/>
          <w:b/>
          <w:bCs/>
        </w:rPr>
        <w:t>.</w:t>
        <w:tab/>
        <w:t>The Energy Market’s Demise.</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17</w:t>
      </w:r>
      <w:r>
        <w:rPr>
          <w:rFonts w:eastAsia="Times New Roman" w:cs="Times New Roman" w:ascii="Times New Roman" w:hAnsi="Times New Roman"/>
        </w:rPr>
        <w:fldChar w:fldCharType="end"/>
      </w:r>
      <w:r>
        <w:rPr>
          <w:rFonts w:eastAsia="Times New Roman" w:cs="Times New Roman" w:ascii="Times New Roman" w:hAnsi="Times New Roman"/>
        </w:rPr>
        <w:t>.</w:t>
        <w:tab/>
        <w:t>As expected, when AB 1890 initially was implemented, wholesale prices for electricity dropped.  In the late spring of 2000, however, prices began to soar unexpectedly for a variety of reasons, including the decreasing availability of hydroelectric power from the Pacific Northwest and increases in the cost of natural gas used to fuel generating facilities in California.</w:t>
      </w:r>
    </w:p>
    <w:p>
      <w:pPr>
        <w:pStyle w:val="BodyText1"/>
        <w:widowControl/>
        <w:numPr>
          <w:ilvl w:val="0"/>
          <w:numId w:val="4"/>
        </w:numPr>
        <w:tabs>
          <w:tab w:val="clear" w:pos="720"/>
          <w:tab w:val="left" w:pos="0" w:leader="none"/>
        </w:tabs>
        <w:ind w:firstLine="720" w:start="0"/>
        <w:rPr/>
      </w:pPr>
      <w:r>
        <w:rPr/>
        <w:fldChar w:fldCharType="begin"/>
      </w:r>
      <w:r>
        <w:rPr/>
        <w:instrText xml:space="preserve"> SEQ level5 \* ARABIC </w:instrText>
      </w:r>
      <w:r>
        <w:rPr/>
        <w:fldChar w:fldCharType="separate"/>
      </w:r>
      <w:r>
        <w:rPr/>
        <w:t>18</w:t>
      </w:r>
      <w:r>
        <w:rPr/>
        <w:fldChar w:fldCharType="end"/>
      </w:r>
      <w:r>
        <w:rPr/>
        <w:t>.</w:t>
        <w:tab/>
        <w:t xml:space="preserve">At or near this time, CalPX elected to revisit the credit policies and default remedies in the tariffs governing the PX Markets.  CalPX expected that the changes resulting from this effort would reduce the barriers to participation in the market and thereby increase the number of sellers and lower prices.  The amendment effected as a result of this process was incorporated into the Core Market Tariff through CalPX Tariff Amendment No. 18.  Among other things, these changes added Schedule 2 to the Core Market Tariff, which modified the remedies available to CalPX in the event of default.  Under the new provisions, if a PX Participant defaults in any of its payments due to the CalPX, the CalPX is required to take the necessary action to mitigate loss, including  drawing on the PX Participant’s security.  After exhausting this security, any </w:t>
      </w:r>
      <w:r>
        <w:rPr>
          <w:i/>
          <w:iCs/>
        </w:rPr>
        <w:t>remaining</w:t>
      </w:r>
      <w:r>
        <w:rPr/>
        <w:t xml:space="preserve"> default amount is to be allocated among all non-defaulting PX Participants in accordance with a “proportional chargeback methodology,” as follows:  </w:t>
      </w:r>
    </w:p>
    <w:p>
      <w:pPr>
        <w:pStyle w:val="StandardL1"/>
        <w:widowControl/>
        <w:spacing w:lineRule="auto" w:line="240" w:before="120" w:after="0"/>
        <w:ind w:hanging="0" w:start="1440" w:end="720"/>
        <w:jc w:val="both"/>
        <w:rPr>
          <w:rFonts w:ascii="Times New Roman" w:hAnsi="Times New Roman" w:eastAsia="Times New Roman" w:cs="Times New Roman"/>
        </w:rPr>
      </w:pPr>
      <w:r>
        <w:rPr>
          <w:rFonts w:eastAsia="Times New Roman" w:cs="Times New Roman" w:ascii="Times New Roman" w:hAnsi="Times New Roman"/>
        </w:rPr>
        <w:t xml:space="preserve">The PX Participant’s outstanding default amount will be charged back to all current PX Participants based upon the percentage of its gross sales in MWhs to the total gross MWhs sales in the Core Market during the three calendar months preceding the event plus the current month-to-date.  </w:t>
      </w:r>
    </w:p>
    <w:p>
      <w:pPr>
        <w:pStyle w:val="StandardL1"/>
        <w:widowControl/>
        <w:ind w:hanging="0" w:end="0"/>
        <w:jc w:val="both"/>
        <w:rPr>
          <w:rFonts w:ascii="Times New Roman" w:hAnsi="Times New Roman" w:eastAsia="Times New Roman" w:cs="Times New Roman"/>
        </w:rPr>
      </w:pPr>
      <w:r>
        <w:rPr>
          <w:rFonts w:eastAsia="Times New Roman" w:cs="Times New Roman" w:ascii="Times New Roman" w:hAnsi="Times New Roman"/>
        </w:rPr>
        <w:t xml:space="preserve">As approved by the FERC, chargebacks were expected to be used principally to secure the delivery of energy into the PX Markets, </w:t>
      </w:r>
      <w:r>
        <w:rPr>
          <w:rFonts w:eastAsia="Times New Roman" w:cs="Times New Roman" w:ascii="Times New Roman" w:hAnsi="Times New Roman"/>
          <w:i/>
          <w:iCs/>
        </w:rPr>
        <w:t xml:space="preserve">not to recoup defaults by CalPX’s utility buyers. </w:t>
      </w:r>
    </w:p>
    <w:p>
      <w:pPr>
        <w:pStyle w:val="Quote"/>
        <w:widowControl/>
        <w:spacing w:lineRule="exact" w:line="480" w:before="0" w:after="0"/>
        <w:ind w:firstLine="720" w:start="0" w:end="0"/>
        <w:rPr/>
      </w:pPr>
      <w:r>
        <w:rPr/>
        <w:fldChar w:fldCharType="begin"/>
      </w:r>
      <w:r>
        <w:rPr/>
        <w:instrText xml:space="preserve"> SEQ level5 \* ARABIC </w:instrText>
      </w:r>
      <w:r>
        <w:rPr/>
        <w:fldChar w:fldCharType="separate"/>
      </w:r>
      <w:r>
        <w:rPr/>
        <w:t>19</w:t>
      </w:r>
      <w:r>
        <w:rPr/>
        <w:fldChar w:fldCharType="end"/>
      </w:r>
      <w:r>
        <w:rPr/>
        <w:t>.</w:t>
        <w:tab/>
        <w:t xml:space="preserve">During the months immediately following approval of Tariff Amendment 18, however, the financial condition of SCE and PG&amp;E began to deteriorate dramatically.  This deterioration sprang from the continued skyrocketing of wholesale prices, which was forcing both SCE and PG&amp;E to pay far more for the vast quantities of electricity they were required to buy than they could recover through their frozen retail rates.  As a result of this price squeeze, both SCE and PG&amp;E began to report staggering losses.  Both companies also reported that these losses were imposing a considerable strain on their liquidity.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20</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By November 2000, the financial strain on both companies had become so severe that it was affecting the willingness of PX Participants to supply them power.  Because of their trading strategies, both entities began to purchase increasing amounts of energy through the ISO Market at increasingly higher prices.  Invoices for this energy were submitted by the ISO through CalPX as the Scheduling Coordinator for SCE and PG&amp;E.  These invoices were not immediately due and payable but processed on a monthly basis.  On information and belief, SCE and PG&amp;E chose the ISO Market because they were suffering from serious liquidity problems.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21</w:t>
      </w:r>
      <w:r>
        <w:rPr>
          <w:rFonts w:eastAsia="Times New Roman" w:cs="Times New Roman" w:ascii="Times New Roman" w:hAnsi="Times New Roman"/>
        </w:rPr>
        <w:fldChar w:fldCharType="end"/>
      </w:r>
      <w:r>
        <w:rPr>
          <w:rFonts w:eastAsia="Times New Roman" w:cs="Times New Roman" w:ascii="Times New Roman" w:hAnsi="Times New Roman"/>
        </w:rPr>
        <w:t>.</w:t>
        <w:tab/>
        <w:t>On December 13, 2000, the ISO announced publicly that generators were refusing to sell into the PX Markets because of concern about the financial viability of both SCE and PG&amp;E.  This led to an emergency order by the U.S. Secretary of Energy on December 14, 2000, requiring companies to generate and deliver energy to the ISO as requested.</w:t>
      </w:r>
    </w:p>
    <w:p>
      <w:pPr>
        <w:pStyle w:val="Quote"/>
        <w:widowControl/>
        <w:spacing w:lineRule="exact" w:line="480" w:before="0" w:after="0"/>
        <w:ind w:firstLine="720" w:start="0" w:end="0"/>
        <w:rPr/>
      </w:pPr>
      <w:r>
        <w:rPr/>
        <w:fldChar w:fldCharType="begin"/>
      </w:r>
      <w:r>
        <w:rPr/>
        <w:instrText xml:space="preserve"> SEQ level5 \* ARABIC </w:instrText>
      </w:r>
      <w:r>
        <w:rPr/>
        <w:fldChar w:fldCharType="separate"/>
      </w:r>
      <w:r>
        <w:rPr/>
        <w:t>22</w:t>
      </w:r>
      <w:r>
        <w:rPr/>
        <w:fldChar w:fldCharType="end"/>
      </w:r>
      <w:r>
        <w:rPr/>
        <w:t>.</w:t>
        <w:tab/>
        <w:t>Notwithstanding this order, the financial condition of both SCE and PG&amp;E continued to deteriorate:  SCE announced that it had been advised by certain of its lending banks that they were reserving rights under existing lines of credit to assert a default and were requiring evidence of SCE’s ability to perform.  Likewise, SCE stated that certain vendors had required assurances of SCE’s creditworthiness and/or the pledging of collateral as a condition to providing further credit.  Finally, SCE noted that it had been unable to complete the syndication of a $1 billion revolving credit arrangement and was unable to market its commercial and short-term financial instruments.  Because of these circumstances, SCE noted that it “may have to seek protection of the bankruptcy court.”</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23</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PG&amp;E reported similar results:  the company noted that Moody’s Investor Service, Inc. had placed PG&amp;E under review for a possible downgrade as of December 11, 2000, and Standard &amp; Poors put the company on “credit watch” with negative implications as of December 13, 2000.  PG&amp;E also reported that creditors had begun to demand advance payment in return for delivery of power and natural gas and that the company did not expect to be able to borrow additional funds.  As a result, the company expected to “run out of cash by late January or early February 2001.”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24</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Despite these developments, CalPX did nothing to lower SCE’s or PG&amp;E’s credit ratings; nor did it do anything to protect other PX Participants such as Sempra Energy Trading by requiring SCE or PG&amp;E to post collateral, corporate guarantees, surety bonds or some other form of security against the likelihood of default.  Instead, on January 5, 2001, CalPX filed a tariff amendment with FERC actually seeking to </w:t>
      </w:r>
      <w:r>
        <w:rPr>
          <w:rFonts w:eastAsia="Times New Roman" w:cs="Times New Roman" w:ascii="Times New Roman" w:hAnsi="Times New Roman"/>
          <w:i/>
          <w:iCs/>
        </w:rPr>
        <w:t>reduce</w:t>
      </w:r>
      <w:r>
        <w:rPr>
          <w:rFonts w:eastAsia="Times New Roman" w:cs="Times New Roman" w:ascii="Times New Roman" w:hAnsi="Times New Roman"/>
        </w:rPr>
        <w:t xml:space="preserve"> the minimum requirements for a superior credit ranking so that SCE and PG&amp;E could continue to qualify and continue using CalPX services “without interruption for the necessity of imposing collateral requirements” that might be viewed as “impracticable.”  (CalPX Tariff Amendment No. 22.)  As a result of this amendment, which CalPX implemented without FERC approval, both SCE and PG&amp;E continued to have access to unlimited unsecured credit in the Core Market.</w:t>
      </w:r>
    </w:p>
    <w:p>
      <w:pPr>
        <w:pStyle w:val="StandardL1"/>
        <w:widowControl/>
        <w:tabs>
          <w:tab w:val="clear" w:pos="1440"/>
        </w:tabs>
        <w:ind w:hanging="0" w:end="0"/>
        <w:jc w:val="both"/>
        <w:rPr/>
      </w:pPr>
      <w:r>
        <w:rPr>
          <w:rFonts w:eastAsia="Times New Roman" w:cs="Times New Roman" w:ascii="Times New Roman" w:hAnsi="Times New Roman"/>
          <w:b/>
          <w:bCs/>
          <w:spacing w:val="-3"/>
        </w:rPr>
        <w:fldChar w:fldCharType="begin"/>
      </w:r>
      <w:r>
        <w:rPr>
          <w:spacing w:val="-3"/>
          <w:b/>
          <w:bCs/>
          <w:rFonts w:eastAsia="Times New Roman" w:cs="Times New Roman" w:ascii="Times New Roman" w:hAnsi="Times New Roman"/>
        </w:rPr>
        <w:instrText xml:space="preserve"> SEQ LEVEL6 \* ALPHABETIC </w:instrText>
      </w:r>
      <w:r>
        <w:rPr>
          <w:spacing w:val="-3"/>
          <w:b/>
          <w:bCs/>
          <w:rFonts w:eastAsia="Times New Roman" w:cs="Times New Roman" w:ascii="Times New Roman" w:hAnsi="Times New Roman"/>
        </w:rPr>
        <w:fldChar w:fldCharType="separate"/>
      </w:r>
      <w:r>
        <w:rPr>
          <w:spacing w:val="-3"/>
          <w:b/>
          <w:bCs/>
          <w:rFonts w:eastAsia="Times New Roman" w:cs="Times New Roman" w:ascii="Times New Roman" w:hAnsi="Times New Roman"/>
        </w:rPr>
        <w:t>E</w:t>
      </w:r>
      <w:r>
        <w:rPr>
          <w:spacing w:val="-3"/>
          <w:b/>
          <w:bCs/>
          <w:rFonts w:eastAsia="Times New Roman" w:cs="Times New Roman" w:ascii="Times New Roman" w:hAnsi="Times New Roman"/>
        </w:rPr>
        <w:fldChar w:fldCharType="end"/>
      </w:r>
      <w:r>
        <w:rPr>
          <w:rFonts w:eastAsia="Times New Roman" w:cs="Times New Roman" w:ascii="Times New Roman" w:hAnsi="Times New Roman"/>
          <w:b/>
          <w:bCs/>
          <w:spacing w:val="-3"/>
        </w:rPr>
        <w:t>.</w:t>
      </w:r>
      <w:r>
        <w:rPr>
          <w:rFonts w:eastAsia="Times New Roman" w:cs="Times New Roman" w:ascii="Times New Roman" w:hAnsi="Times New Roman"/>
          <w:b/>
          <w:bCs/>
        </w:rPr>
        <w:tab/>
        <w:t>The Defaults and Resulting Chargebacks.</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25</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Within a matter of days after CalPX elected to extend their superior credit ranking, both SCE and PG&amp;E defaulted on their obligations.  For SCE the actual default process began on January 15, 2001, when the company announced that it was suspending certain payments, including a $215 million payment due to CalPX on January 16, 2001.  CalPX responded to this announcement by finally requiring SCE to post collateral for all transactions in the Core Market.  Not surprisingly, however, SCE notified CalPX that it would not be able to post the required collateral.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26</w:t>
      </w:r>
      <w:r>
        <w:rPr>
          <w:rFonts w:eastAsia="Times New Roman" w:cs="Times New Roman" w:ascii="Times New Roman" w:hAnsi="Times New Roman"/>
        </w:rPr>
        <w:fldChar w:fldCharType="end"/>
      </w:r>
      <w:r>
        <w:rPr>
          <w:rFonts w:eastAsia="Times New Roman" w:cs="Times New Roman" w:ascii="Times New Roman" w:hAnsi="Times New Roman"/>
        </w:rPr>
        <w:t>.</w:t>
        <w:tab/>
        <w:t>Shortly thereafter, on January 18, 2001, CalPX declared SCE in default and immediately began imposing chargebacks on Sempra Energy Trading and other PX Participants to recover the $215 million SCE shortfall in the Core Market.  As part of this effort, CalPX transmitted a “default share invoice” to Sempra Energy Trading on or about January 18, 2001 stating that Sempra Energy Trading owed CalPX $1,516,503.57 for the “SCE default.”  (A true and correct copy of the January 18, 2001 invoice is annexed hereto as Exhibit “B” and is incorporated herein by this reference.)</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27</w:t>
      </w:r>
      <w:r>
        <w:rPr>
          <w:rFonts w:eastAsia="Times New Roman" w:cs="Times New Roman" w:ascii="Times New Roman" w:hAnsi="Times New Roman"/>
        </w:rPr>
        <w:fldChar w:fldCharType="end"/>
      </w:r>
      <w:r>
        <w:rPr>
          <w:rFonts w:eastAsia="Times New Roman" w:cs="Times New Roman" w:ascii="Times New Roman" w:hAnsi="Times New Roman"/>
        </w:rPr>
        <w:t>.</w:t>
        <w:tab/>
        <w:t>The January 18, 2001 “default share invoice” to Sempra Energy Trading was not accompanied by any calculations showing how the charge-back amount had been computed or on what basis it was being imposed.  Indeed, the calculations were wrong.  Accordingly, on January 24, 2001, CalPX provided Sempra Energy Trading with a corrected invoice, noting that the pro rata percentage used on the original default share invoice “was incorrect due to corrupt data files.”  This corrected invoice increased the net amount due from Sempra Energy Trading by $15,837.89.  (A true and correct copy of the January 24, 2001 invoice is annexed hereto as Exhibit “C” and is incorporated herein by this reference.)  Again, the invoice was not accompanied by any calculations showing how the chargeback amount had been computed.</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28</w:t>
      </w:r>
      <w:r>
        <w:rPr>
          <w:rFonts w:eastAsia="Times New Roman" w:cs="Times New Roman" w:ascii="Times New Roman" w:hAnsi="Times New Roman"/>
        </w:rPr>
        <w:fldChar w:fldCharType="end"/>
      </w:r>
      <w:r>
        <w:rPr>
          <w:rFonts w:eastAsia="Times New Roman" w:cs="Times New Roman" w:ascii="Times New Roman" w:hAnsi="Times New Roman"/>
        </w:rPr>
        <w:t>.</w:t>
        <w:tab/>
        <w:t>At the same time, there were discrepancies in the amounts owed by the CalPX to Sempra Energy Trading.  On January 22, 2001, Sempra Energy Trading wrote to the CalPX seeking information as to why the CalPX had underpaid Sempra Energy Trading by $1,595,198.26.  Because of the lack of documentation, Sempra Energy Trading could not determine whether the underpayment was a clerical error or a chargeback.  (A true and correct copy of the January 22, 2001 letter is annexed hereto as Exhibit “D” and is incorporated herein by this reference.)  The CalPX never responded to Sempra Energy Trading's letter, and further information was never provided.</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29</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Soon thereafter, on February 2, 2001, SCE and PG&amp;E defaulted again — this time in the ISO Market.  SCE and PG&amp;E failed to pay the ISO (through CalPX) for more than $665 million for purchases of real-time imbalance energy as well as over $11 million in grid management charge obligations.  On February 8, 2001, without any support for its calculation, the CalPX issued a chargeback invoice in the amount of $3,358,888.13 to Sempra Energy Trading to recover defaults in the ISO Market.  (A true and correct copy of the invoice is annexed hereto as Exhibit “E” and is incorporated herein by reference.)  The CalPX has </w:t>
      </w:r>
      <w:r>
        <w:rPr>
          <w:rFonts w:eastAsia="Times New Roman" w:cs="Times New Roman" w:ascii="Times New Roman" w:hAnsi="Times New Roman"/>
          <w:i/>
          <w:iCs/>
        </w:rPr>
        <w:t>no</w:t>
      </w:r>
      <w:r>
        <w:rPr>
          <w:rFonts w:eastAsia="Times New Roman" w:cs="Times New Roman" w:ascii="Times New Roman" w:hAnsi="Times New Roman"/>
        </w:rPr>
        <w:t xml:space="preserve"> authority under the CalPX Tariff or otherwise to make this demand.</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30</w:t>
      </w:r>
      <w:r>
        <w:rPr>
          <w:rFonts w:eastAsia="Times New Roman" w:cs="Times New Roman" w:ascii="Times New Roman" w:hAnsi="Times New Roman"/>
        </w:rPr>
        <w:fldChar w:fldCharType="end"/>
      </w:r>
      <w:r>
        <w:rPr>
          <w:rFonts w:eastAsia="Times New Roman" w:cs="Times New Roman" w:ascii="Times New Roman" w:hAnsi="Times New Roman"/>
        </w:rPr>
        <w:t>.</w:t>
        <w:tab/>
        <w:t>This is because the ISO Tariff, which governs the ISO Market, specifically provides in section 11.16.1 that:</w:t>
      </w:r>
    </w:p>
    <w:p>
      <w:pPr>
        <w:pStyle w:val="StandardL1"/>
        <w:widowControl/>
        <w:spacing w:lineRule="auto" w:line="240" w:before="120" w:after="0"/>
        <w:ind w:hanging="0" w:start="1440" w:end="720"/>
        <w:jc w:val="both"/>
        <w:rPr/>
      </w:pPr>
      <w:r>
        <w:rPr>
          <w:rFonts w:eastAsia="Times New Roman" w:cs="Times New Roman" w:ascii="Times New Roman" w:hAnsi="Times New Roman"/>
        </w:rPr>
        <w:t xml:space="preserve">[i]f it is not possible to clear the ISO Clearing Account on a Payment Date because of an insufficiency of funds available in the ISO Reserve Account or by enforcing any guarantee, letter of credit or other credit support provided by a defaulting Scheduling Coordinator, </w:t>
      </w:r>
      <w:r>
        <w:rPr>
          <w:rFonts w:eastAsia="Times New Roman" w:cs="Times New Roman" w:ascii="Times New Roman" w:hAnsi="Times New Roman"/>
          <w:i/>
          <w:iCs/>
        </w:rPr>
        <w:t>the ISO shall</w:t>
      </w:r>
      <w:r>
        <w:rPr>
          <w:rFonts w:eastAsia="Times New Roman" w:cs="Times New Roman" w:ascii="Times New Roman" w:hAnsi="Times New Roman"/>
        </w:rPr>
        <w:t xml:space="preserve"> reduce payments to all ISO Creditors proportionately to the net amounts payable to them on the relevant Payment Date to the extent necessary to clear the ISO Clearing Account.</w:t>
      </w:r>
    </w:p>
    <w:p>
      <w:pPr>
        <w:pStyle w:val="StandardL1"/>
        <w:widowControl/>
        <w:ind w:hanging="0" w:end="0"/>
        <w:jc w:val="both"/>
        <w:rPr>
          <w:rFonts w:ascii="Times New Roman" w:hAnsi="Times New Roman" w:eastAsia="Times New Roman" w:cs="Times New Roman"/>
          <w:b/>
          <w:bCs/>
        </w:rPr>
      </w:pPr>
      <w:r>
        <w:rPr>
          <w:rFonts w:eastAsia="Times New Roman" w:cs="Times New Roman" w:ascii="Times New Roman" w:hAnsi="Times New Roman"/>
          <w:i/>
          <w:iCs/>
        </w:rPr>
        <w:t>Id.</w:t>
      </w:r>
      <w:r>
        <w:rPr>
          <w:rFonts w:eastAsia="Times New Roman" w:cs="Times New Roman" w:ascii="Times New Roman" w:hAnsi="Times New Roman"/>
        </w:rPr>
        <w:t xml:space="preserve"> (emphasis added).  Thus, it is the ISO — not the CalPX — that may cover shortfalls in payments by reducing payments to ISO creditors (</w:t>
      </w:r>
      <w:r>
        <w:rPr>
          <w:rFonts w:eastAsia="Times New Roman" w:cs="Times New Roman" w:ascii="Times New Roman" w:hAnsi="Times New Roman"/>
          <w:i/>
          <w:iCs/>
        </w:rPr>
        <w:t>i.e.,</w:t>
      </w:r>
      <w:r>
        <w:rPr>
          <w:rFonts w:eastAsia="Times New Roman" w:cs="Times New Roman" w:ascii="Times New Roman" w:hAnsi="Times New Roman"/>
        </w:rPr>
        <w:t xml:space="preserve"> those parties that are owed money for imbalance energy transactions in the ISO Market) proportionally among them.  Simply put, under the terms of the ISO Tariff, the CalPX has no authority to initiate such chargebacks.  As a result, CalPX — merely because of its participation as a Scheduling Coordinator in the ISO Market — cannot force Sempra Energy Trading to pay for SCE’s and PG&amp;E’s defaults.  On information and belief, unless enjoined by this Court, the CalPX will submit invoices to Sempra Energy Trading in the future as “chargebacks” to cover some or all of these unpaid obligations.</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31</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The magnitude of the current situation is exacerbated by the fact that CalPX effectively is out of business, out of money, and nearly out of time.  Pursuant to a December 15, 2000 FERC order, CalPX is obligated to terminate its tariffs and wind up its exchange functions by no later than April 30, 2001.  As a result, on January 29, 2001, CalPX issued an announcement to all PX Participants that it was suspending trading operations but that it intended to continue performing scheduling and settlement services; CalPX did not indicate for how long.  Both the Core Market and the Block Forward Market were closed by the end of the day on January 31, 2001.  </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32</w:t>
      </w:r>
      <w:r>
        <w:rPr>
          <w:rFonts w:eastAsia="Times New Roman" w:cs="Times New Roman" w:ascii="Times New Roman" w:hAnsi="Times New Roman"/>
        </w:rPr>
        <w:fldChar w:fldCharType="end"/>
      </w:r>
      <w:r>
        <w:rPr>
          <w:rFonts w:eastAsia="Times New Roman" w:cs="Times New Roman" w:ascii="Times New Roman" w:hAnsi="Times New Roman"/>
        </w:rPr>
        <w:t>.</w:t>
        <w:tab/>
        <w:t>At or about the same time, SCE and PG&amp;E — the utilities whose defaults triggered this crisis — respectively issued financial audits that further confirmed their dire financial circumstances as well as their probable inability to pay any claims.  The audits noted, among other things, that SCE is unable to obtain additional credit, and that it had defaulted on numerous obligations and power bills in addition to the $215 million due CalPX as of January 16, 2001.  Likewise, PG&amp;E reported a loss of access to the commercial paper markets, exhaustion of its credit facilities, and continuing defaults on outstanding obligations.  Moreover, as of December 31, 2000, SCE and PG&amp;E reported undercollections of $4.5 billion and $6.7 billion, respectively.</w:t>
      </w:r>
    </w:p>
    <w:p>
      <w:pPr>
        <w:pStyle w:val="StandardL1"/>
        <w:widowControl/>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33</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The winding-down of CalPX’s operations combined with the economic hardships faced by SCE and PG&amp;E has created an environment of substantial financial uncertainty.  Given this environment, Sempra Energy Trading has no adequate remedy at law because it cannot reasonably rely on either the CalPX or the investor-owned utilities — all of which effectively are insolvent — to reimburse it for the improperly invoiced chargeback payments that the CalPX has already sent out.  Indeed, once the CalPX draws down on Sempra Energy Trading’s Letters of Credit, Sempra Energy Trading will lose $7 million without any hopes of recovering it and, thus, it will be irreparably harmed.  </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FIRST CLAIM FOR RELIEF</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(Accounting)</w:t>
      </w:r>
    </w:p>
    <w:p>
      <w:pPr>
        <w:pStyle w:val="Normal"/>
        <w:spacing w:lineRule="exact" w:line="480"/>
        <w:ind w:firstLine="720" w:end="0"/>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34</w:t>
      </w:r>
      <w:r>
        <w:rPr>
          <w:rFonts w:eastAsia="Times New Roman" w:cs="Times New Roman" w:ascii="Times New Roman" w:hAnsi="Times New Roman"/>
        </w:rPr>
        <w:fldChar w:fldCharType="end"/>
      </w:r>
      <w:r>
        <w:rPr>
          <w:rFonts w:eastAsia="Times New Roman" w:cs="Times New Roman" w:ascii="Times New Roman" w:hAnsi="Times New Roman"/>
        </w:rPr>
        <w:t>.</w:t>
        <w:tab/>
        <w:t>Sempra Energy Trading incorporates herein paragraphs 1 through 33.</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35</w:t>
      </w:r>
      <w:r>
        <w:rPr>
          <w:rFonts w:eastAsia="Times New Roman" w:cs="Times New Roman" w:ascii="Times New Roman" w:hAnsi="Times New Roman"/>
        </w:rPr>
        <w:fldChar w:fldCharType="end"/>
      </w:r>
      <w:r>
        <w:rPr>
          <w:rFonts w:eastAsia="Times New Roman" w:cs="Times New Roman" w:ascii="Times New Roman" w:hAnsi="Times New Roman"/>
        </w:rPr>
        <w:t>.</w:t>
        <w:tab/>
        <w:t>Based on the foregoing allegations, and the relationship entered into between the CalPX and Sempra Energy Trading as part of the Participation Agreement, the CalPX is required to account to Sempra Energy Trading for all funds that it has collected from Sempra Energy Trading and all amounts that are owed to Sempra Energy Trading, including, but not limited to, amounts related to the January 18, 2001 defaults by SCE and PG&amp;E.  In addition, Sempra Energy Trading demands that the CalPX account for all funds that it has collected from SCE and PG&amp;E, and all funds that are owed to the CalPX from SCE and PG&amp;E.</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36</w:t>
      </w:r>
      <w:r>
        <w:rPr>
          <w:rFonts w:eastAsia="Times New Roman" w:cs="Times New Roman" w:ascii="Times New Roman" w:hAnsi="Times New Roman"/>
        </w:rPr>
        <w:fldChar w:fldCharType="end"/>
      </w:r>
      <w:r>
        <w:rPr>
          <w:rFonts w:eastAsia="Times New Roman" w:cs="Times New Roman" w:ascii="Times New Roman" w:hAnsi="Times New Roman"/>
        </w:rPr>
        <w:t>.</w:t>
        <w:tab/>
        <w:t>Upon information and belief, Sempra Energy Trading is owed money in an amount in excess of $75,000.</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SECOND CLAIM FOR RELIEF</w:t>
      </w:r>
    </w:p>
    <w:p>
      <w:pPr>
        <w:pStyle w:val="Normal"/>
        <w:spacing w:lineRule="exact" w:line="480"/>
        <w:jc w:val="center"/>
        <w:rPr>
          <w:rFonts w:ascii="Times New Roman" w:hAnsi="Times New Roman" w:eastAsia="Times New Roman" w:cs="Times New Roman"/>
        </w:rPr>
      </w:pPr>
      <w:r>
        <w:rPr>
          <w:rFonts w:eastAsia="Times New Roman" w:cs="Times New Roman" w:ascii="Times New Roman" w:hAnsi="Times New Roman"/>
          <w:b/>
          <w:bCs/>
        </w:rPr>
        <w:t>(Declaratory Judgment)</w:t>
      </w:r>
    </w:p>
    <w:p>
      <w:pPr>
        <w:pStyle w:val="Normal"/>
        <w:spacing w:lineRule="exact" w:line="480"/>
        <w:ind w:firstLine="720" w:end="0"/>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37</w:t>
      </w:r>
      <w:r>
        <w:rPr>
          <w:rFonts w:eastAsia="Times New Roman" w:cs="Times New Roman" w:ascii="Times New Roman" w:hAnsi="Times New Roman"/>
        </w:rPr>
        <w:fldChar w:fldCharType="end"/>
      </w:r>
      <w:r>
        <w:rPr>
          <w:rFonts w:eastAsia="Times New Roman" w:cs="Times New Roman" w:ascii="Times New Roman" w:hAnsi="Times New Roman"/>
        </w:rPr>
        <w:t>.</w:t>
        <w:tab/>
        <w:t>Sempra Energy Trading incorporates herein paragraphs 1-36.</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38</w:t>
      </w:r>
      <w:r>
        <w:rPr>
          <w:rFonts w:eastAsia="Times New Roman" w:cs="Times New Roman" w:ascii="Times New Roman" w:hAnsi="Times New Roman"/>
        </w:rPr>
        <w:fldChar w:fldCharType="end"/>
      </w:r>
      <w:r>
        <w:rPr>
          <w:rFonts w:eastAsia="Times New Roman" w:cs="Times New Roman" w:ascii="Times New Roman" w:hAnsi="Times New Roman"/>
        </w:rPr>
        <w:t>.</w:t>
        <w:tab/>
        <w:t>An actual controversy has arisen and now exists between Sempra Energy Trading and CalPX.  On the one hand, Sempra Energy Trading contends that CalPX may not impose the actual proportional chargebacks against Sempra Energy Trading arising out of the defaults of SCE or PG&amp;E because the CalPX is not empowered to impose such chargebacks in the ISO Market.  On the other hand, CalPX contends that it presently is entitled to impose any default remedies under its Core Market Tariff in any order it sees fit for all SCE and PG&amp;E defaults in the PX markets and the ISO Market.</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39</w:t>
      </w:r>
      <w:r>
        <w:rPr>
          <w:rFonts w:eastAsia="Times New Roman" w:cs="Times New Roman" w:ascii="Times New Roman" w:hAnsi="Times New Roman"/>
        </w:rPr>
        <w:fldChar w:fldCharType="end"/>
      </w:r>
      <w:r>
        <w:rPr>
          <w:rFonts w:eastAsia="Times New Roman" w:cs="Times New Roman" w:ascii="Times New Roman" w:hAnsi="Times New Roman"/>
        </w:rPr>
        <w:t>.</w:t>
        <w:tab/>
        <w:t>A judicial determination of this controversy is necessary and appropriate at this time so that the parties may ascertain their rights with respect to the invoices CalPX has presented to Sempra Energy Trading and the actions CalPX has taken towards Sempra Energy Trading.  This controversy is incapable of resolution without judicial adjudication, and Sempra Energy Trading has not plain, speedy or adequate remedy at law.</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40</w:t>
      </w:r>
      <w:r>
        <w:rPr>
          <w:rFonts w:eastAsia="Times New Roman" w:cs="Times New Roman" w:ascii="Times New Roman" w:hAnsi="Times New Roman"/>
        </w:rPr>
        <w:fldChar w:fldCharType="end"/>
      </w:r>
      <w:r>
        <w:rPr>
          <w:rFonts w:eastAsia="Times New Roman" w:cs="Times New Roman" w:ascii="Times New Roman" w:hAnsi="Times New Roman"/>
        </w:rPr>
        <w:t>.</w:t>
        <w:tab/>
        <w:t>Sempra Energy Trading, therefore, seeks a declaration that (1) it is not required to pay any proportional chargeback as a result of SCE’s and/or PG&amp;E’s defaults; (2) the CalPX, acting as Scheduling Coordinator, lacks authority to chargeback Sempra Energy Trading for the failure of other PX Participants to pay for imbalance energy purchased the ISO Market; and (3) Sempra Energy Trading is not obligated to make any payment for amounts owed for such purchases.</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THIRD CLAIM FOR RELIEF</w:t>
      </w:r>
    </w:p>
    <w:p>
      <w:pPr>
        <w:pStyle w:val="Normal"/>
        <w:spacing w:lineRule="exact" w:line="480"/>
        <w:jc w:val="center"/>
        <w:rPr>
          <w:rFonts w:ascii="Times New Roman" w:hAnsi="Times New Roman" w:eastAsia="Times New Roman" w:cs="Times New Roman"/>
          <w:b/>
          <w:bCs/>
        </w:rPr>
      </w:pPr>
      <w:r>
        <w:rPr>
          <w:rFonts w:eastAsia="Times New Roman" w:cs="Times New Roman" w:ascii="Times New Roman" w:hAnsi="Times New Roman"/>
          <w:b/>
          <w:bCs/>
        </w:rPr>
        <w:t>(For Injunctive Relief)</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41</w:t>
      </w:r>
      <w:r>
        <w:rPr>
          <w:rFonts w:eastAsia="Times New Roman" w:cs="Times New Roman" w:ascii="Times New Roman" w:hAnsi="Times New Roman"/>
        </w:rPr>
        <w:fldChar w:fldCharType="end"/>
      </w:r>
      <w:r>
        <w:rPr>
          <w:rFonts w:eastAsia="Times New Roman" w:cs="Times New Roman" w:ascii="Times New Roman" w:hAnsi="Times New Roman"/>
        </w:rPr>
        <w:t>.</w:t>
        <w:tab/>
        <w:t>Sempra Energy Trading incorporates herein paragraphs 1-40.</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42</w:t>
      </w:r>
      <w:r>
        <w:rPr>
          <w:rFonts w:eastAsia="Times New Roman" w:cs="Times New Roman" w:ascii="Times New Roman" w:hAnsi="Times New Roman"/>
        </w:rPr>
        <w:fldChar w:fldCharType="end"/>
      </w:r>
      <w:r>
        <w:rPr>
          <w:rFonts w:eastAsia="Times New Roman" w:cs="Times New Roman" w:ascii="Times New Roman" w:hAnsi="Times New Roman"/>
        </w:rPr>
        <w:t>.</w:t>
        <w:tab/>
        <w:t>Sempra Energy Trading will have no remedy in money damages against the CalPX for the improper chargebacks it is or will be required to pay since the CalPX is a clearinghouse and has no assets.  Indeed, the CalPX is winding-down its operation, and it already has suspended its Core Market and Block Forward Market trading operations.  Moreover, upon information and belief, the chargebacks are being collected for the benefit of third parties, thus putting the money immediately beyond anyone’s reach while this matter is litigated.</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43</w:t>
      </w:r>
      <w:r>
        <w:rPr>
          <w:rFonts w:eastAsia="Times New Roman" w:cs="Times New Roman" w:ascii="Times New Roman" w:hAnsi="Times New Roman"/>
        </w:rPr>
        <w:fldChar w:fldCharType="end"/>
      </w:r>
      <w:r>
        <w:rPr>
          <w:rFonts w:eastAsia="Times New Roman" w:cs="Times New Roman" w:ascii="Times New Roman" w:hAnsi="Times New Roman"/>
        </w:rPr>
        <w:t>.</w:t>
        <w:tab/>
        <w:t>If Sempra Energy Trading does not pay the invoiced chargebacks, the CalPX will draw down on Sempra Energy Trading’s Letters of Credit, the loss of which will cause Sempra Energy Trading irreparable harm both financially and to its business relationships and reputation.  The amount of money damages that would adequately compensate Sempra Energy Trading for such injuries is not easily calculable.</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44</w:t>
      </w:r>
      <w:r>
        <w:rPr>
          <w:rFonts w:eastAsia="Times New Roman" w:cs="Times New Roman" w:ascii="Times New Roman" w:hAnsi="Times New Roman"/>
        </w:rPr>
        <w:fldChar w:fldCharType="end"/>
      </w:r>
      <w:r>
        <w:rPr>
          <w:rFonts w:eastAsia="Times New Roman" w:cs="Times New Roman" w:ascii="Times New Roman" w:hAnsi="Times New Roman"/>
        </w:rPr>
        <w:t>.</w:t>
        <w:tab/>
        <w:t>Failure to enjoin the CalPX from issuing and collecting on these chargebacks also would lead to a multiplicity of litigation:  PX Participants who pay the wrongful chargebacks, and are unable to recover them from the CalPX, will proceed against the third parties who received the funds, other PX Participants, and/or SCE and PG&amp;E — both of which effectively are insolvent.</w:t>
      </w:r>
    </w:p>
    <w:p>
      <w:pPr>
        <w:pStyle w:val="Normal"/>
        <w:spacing w:lineRule="exact" w:line="480"/>
        <w:ind w:firstLine="720" w:end="0"/>
        <w:jc w:val="both"/>
        <w:rPr/>
      </w:pP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level5 \* ARABIC </w:instrText>
      </w:r>
      <w:r>
        <w:rPr>
          <w:rFonts w:eastAsia="Times New Roman" w:cs="Times New Roman" w:ascii="Times New Roman" w:hAnsi="Times New Roman"/>
        </w:rPr>
        <w:fldChar w:fldCharType="separate"/>
      </w:r>
      <w:r>
        <w:rPr>
          <w:rFonts w:eastAsia="Times New Roman" w:cs="Times New Roman" w:ascii="Times New Roman" w:hAnsi="Times New Roman"/>
        </w:rPr>
        <w:t>45</w:t>
      </w:r>
      <w:r>
        <w:rPr>
          <w:rFonts w:eastAsia="Times New Roman" w:cs="Times New Roman" w:ascii="Times New Roman" w:hAnsi="Times New Roman"/>
        </w:rPr>
        <w:fldChar w:fldCharType="end"/>
      </w:r>
      <w:r>
        <w:rPr>
          <w:rFonts w:eastAsia="Times New Roman" w:cs="Times New Roman" w:ascii="Times New Roman" w:hAnsi="Times New Roman"/>
        </w:rPr>
        <w:t>.</w:t>
        <w:tab/>
        <w:t>For all these reasons, the CalPX should be enjoined preliminarily and permanently from issuing any additional chargeback notices to Sempra Energy Trading resulting from SCE’s, PG&amp;E’s, and other PX Participants’ defaults; taking any action to collect on any chargeback notices previously issued to Sempra Energy Trading, including offsetting amounts otherwise due to Sempra Energy Trading based upon a chargeback notice; taking any action to draw down, liquidate, transfer, assign or call upon any collateral posted by Sempra Energy Trading (including its Letters of Credit); and requiring Sempra Energy Trading to post any additional security of any kind.</w:t>
      </w:r>
    </w:p>
    <w:p>
      <w:pPr>
        <w:pStyle w:val="Normal"/>
        <w:spacing w:lineRule="exact" w:line="480"/>
        <w:jc w:val="center"/>
        <w:rPr>
          <w:rFonts w:ascii="Times New Roman" w:hAnsi="Times New Roman" w:eastAsia="Times New Roman" w:cs="Times New Roman"/>
        </w:rPr>
      </w:pPr>
      <w:r>
        <w:rPr>
          <w:rFonts w:eastAsia="Times New Roman" w:cs="Times New Roman" w:ascii="Times New Roman" w:hAnsi="Times New Roman"/>
          <w:b/>
          <w:bCs/>
        </w:rPr>
        <w:t>PRAYER FOR RELIEF</w:t>
      </w:r>
    </w:p>
    <w:p>
      <w:pPr>
        <w:pStyle w:val="Normal"/>
        <w:spacing w:lineRule="exact" w:line="480"/>
        <w:ind w:firstLine="720" w:end="0"/>
        <w:rPr>
          <w:rFonts w:ascii="Times New Roman" w:hAnsi="Times New Roman" w:eastAsia="Times New Roman" w:cs="Times New Roman"/>
        </w:rPr>
      </w:pPr>
      <w:r>
        <w:rPr>
          <w:rFonts w:eastAsia="Times New Roman" w:cs="Times New Roman" w:ascii="Times New Roman" w:hAnsi="Times New Roman"/>
        </w:rPr>
        <w:t>WHEREFORE, Sempra Energy Trading prays for judgment against the CalPX as follows:</w:t>
      </w:r>
    </w:p>
    <w:p>
      <w:pPr>
        <w:pStyle w:val="Normal"/>
        <w:spacing w:lineRule="exact" w:line="480"/>
        <w:ind w:firstLine="720" w:end="0"/>
        <w:jc w:val="both"/>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rPr>
        <w:fldChar w:fldCharType="begin"/>
      </w:r>
      <w:r>
        <w:rPr>
          <w:rFonts w:eastAsia="Times New Roman" w:cs="Times New Roman" w:ascii="Times New Roman" w:hAnsi="Times New Roman"/>
        </w:rPr>
        <w:instrText xml:space="preserve"> SEQ level3 \* alphabetic </w:instrText>
      </w:r>
      <w:r>
        <w:rPr>
          <w:rFonts w:eastAsia="Times New Roman" w:cs="Times New Roman" w:ascii="Times New Roman" w:hAnsi="Times New Roman"/>
        </w:rPr>
        <w:fldChar w:fldCharType="separate"/>
      </w:r>
      <w:r>
        <w:rPr>
          <w:rFonts w:eastAsia="Times New Roman" w:cs="Times New Roman" w:ascii="Times New Roman" w:hAnsi="Times New Roman"/>
        </w:rPr>
        <w:t>a</w:t>
      </w:r>
      <w:r>
        <w:rPr>
          <w:rFonts w:eastAsia="Times New Roman" w:cs="Times New Roman" w:ascii="Times New Roman" w:hAnsi="Times New Roman"/>
        </w:rPr>
        <w:fldChar w:fldCharType="end"/>
      </w:r>
      <w:r>
        <w:rPr>
          <w:rFonts w:eastAsia="Times New Roman" w:cs="Times New Roman" w:ascii="Times New Roman" w:hAnsi="Times New Roman"/>
        </w:rPr>
        <w:t>)</w:t>
        <w:tab/>
        <w:t xml:space="preserve">On its first claim for relief, </w:t>
      </w:r>
      <w:r>
        <w:rPr>
          <w:rFonts w:eastAsia="Times New Roman" w:cs="Times New Roman" w:ascii="Times New Roman" w:hAnsi="Times New Roman"/>
          <w:spacing w:val="-3"/>
        </w:rPr>
        <w:t>for an accounting to Sempra Energy Trading for all funds that the CalPX has collected from Sempra Energy Trading, including but not limited to, amounts received as compensation for the defaults of SCE and PG&amp;E, and all amounts that are owed to Sempra Energy Trading, including payment thereof in an amount exceeding the jurisdictional limit to be proved at trial;</w:t>
      </w:r>
    </w:p>
    <w:p>
      <w:pPr>
        <w:pStyle w:val="Normal"/>
        <w:spacing w:lineRule="exact" w:line="480"/>
        <w:ind w:firstLine="720" w:end="0"/>
        <w:jc w:val="both"/>
        <w:rPr/>
      </w:pPr>
      <w:r>
        <w:rPr>
          <w:rFonts w:eastAsia="Times New Roman" w:cs="Times New Roman" w:ascii="Times New Roman" w:hAnsi="Times New Roman"/>
          <w:spacing w:val="-3"/>
        </w:rPr>
        <w:t>(</w:t>
      </w:r>
      <w:r>
        <w:rPr>
          <w:rFonts w:eastAsia="Times New Roman" w:cs="Times New Roman" w:ascii="Times New Roman" w:hAnsi="Times New Roman"/>
          <w:spacing w:val="-3"/>
        </w:rPr>
        <w:fldChar w:fldCharType="begin"/>
      </w:r>
      <w:r>
        <w:rPr>
          <w:spacing w:val="-3"/>
          <w:rFonts w:eastAsia="Times New Roman" w:cs="Times New Roman" w:ascii="Times New Roman" w:hAnsi="Times New Roman"/>
        </w:rPr>
        <w:instrText xml:space="preserve"> SEQ level3 \* alphabetic </w:instrText>
      </w:r>
      <w:r>
        <w:rPr>
          <w:spacing w:val="-3"/>
          <w:rFonts w:eastAsia="Times New Roman" w:cs="Times New Roman" w:ascii="Times New Roman" w:hAnsi="Times New Roman"/>
        </w:rPr>
        <w:fldChar w:fldCharType="separate"/>
      </w:r>
      <w:r>
        <w:rPr>
          <w:spacing w:val="-3"/>
          <w:rFonts w:eastAsia="Times New Roman" w:cs="Times New Roman" w:ascii="Times New Roman" w:hAnsi="Times New Roman"/>
        </w:rPr>
        <w:t>b</w:t>
      </w:r>
      <w:r>
        <w:rPr>
          <w:spacing w:val="-3"/>
          <w:rFonts w:eastAsia="Times New Roman" w:cs="Times New Roman" w:ascii="Times New Roman" w:hAnsi="Times New Roman"/>
        </w:rPr>
        <w:fldChar w:fldCharType="end"/>
      </w:r>
      <w:r>
        <w:rPr>
          <w:rFonts w:eastAsia="Times New Roman" w:cs="Times New Roman" w:ascii="Times New Roman" w:hAnsi="Times New Roman"/>
          <w:spacing w:val="-3"/>
        </w:rPr>
        <w:t>)</w:t>
      </w:r>
      <w:r>
        <w:rPr>
          <w:rFonts w:eastAsia="Times New Roman" w:cs="Times New Roman" w:ascii="Times New Roman" w:hAnsi="Times New Roman"/>
        </w:rPr>
        <w:tab/>
        <w:t>On its second claim for relief, for a judicial declaration that it is not required to pay any proportional chargeback as a result of SCE’s and/or PG&amp;E’s defaults; that the CalPX, acting as Scheduling Coordinator, lacks authority to chargeback Sempra Energy Trading for the failure of other PX Participants to pay for imbalance energy purchased the ISO Market; and that Sempra Energy Trading is not obligated to make any payment for invoiced amounts owed for such purchases;</w:t>
      </w:r>
    </w:p>
    <w:p>
      <w:pPr>
        <w:pStyle w:val="Normal"/>
        <w:spacing w:lineRule="exact" w:line="480"/>
        <w:ind w:firstLine="720" w:end="0"/>
        <w:jc w:val="both"/>
        <w:rPr>
          <w:rFonts w:ascii="Times New Roman" w:hAnsi="Times New Roman" w:eastAsia="Times New Roman" w:cs="Times New Roman"/>
        </w:rPr>
      </w:pPr>
      <w:r>
        <w:rPr>
          <w:rFonts w:eastAsia="Times New Roman" w:cs="Times New Roman" w:ascii="Times New Roman" w:hAnsi="Times New Roman"/>
          <w:spacing w:val="-3"/>
        </w:rPr>
        <w:t>(</w:t>
      </w:r>
      <w:r>
        <w:rPr>
          <w:rFonts w:eastAsia="Times New Roman" w:cs="Times New Roman" w:ascii="Times New Roman" w:hAnsi="Times New Roman"/>
          <w:spacing w:val="-3"/>
        </w:rPr>
        <w:fldChar w:fldCharType="begin"/>
      </w:r>
      <w:r>
        <w:rPr>
          <w:spacing w:val="-3"/>
          <w:rFonts w:eastAsia="Times New Roman" w:cs="Times New Roman" w:ascii="Times New Roman" w:hAnsi="Times New Roman"/>
        </w:rPr>
        <w:instrText xml:space="preserve"> SEQ level3 \* alphabetic </w:instrText>
      </w:r>
      <w:r>
        <w:rPr>
          <w:spacing w:val="-3"/>
          <w:rFonts w:eastAsia="Times New Roman" w:cs="Times New Roman" w:ascii="Times New Roman" w:hAnsi="Times New Roman"/>
        </w:rPr>
        <w:fldChar w:fldCharType="separate"/>
      </w:r>
      <w:r>
        <w:rPr>
          <w:spacing w:val="-3"/>
          <w:rFonts w:eastAsia="Times New Roman" w:cs="Times New Roman" w:ascii="Times New Roman" w:hAnsi="Times New Roman"/>
        </w:rPr>
        <w:t>c</w:t>
      </w:r>
      <w:r>
        <w:rPr>
          <w:spacing w:val="-3"/>
          <w:rFonts w:eastAsia="Times New Roman" w:cs="Times New Roman" w:ascii="Times New Roman" w:hAnsi="Times New Roman"/>
        </w:rPr>
        <w:fldChar w:fldCharType="end"/>
      </w:r>
      <w:r>
        <w:rPr>
          <w:rFonts w:eastAsia="Times New Roman" w:cs="Times New Roman" w:ascii="Times New Roman" w:hAnsi="Times New Roman"/>
          <w:spacing w:val="-3"/>
        </w:rPr>
        <w:t>)</w:t>
      </w:r>
      <w:r>
        <w:rPr>
          <w:rFonts w:eastAsia="Times New Roman" w:cs="Times New Roman" w:ascii="Times New Roman" w:hAnsi="Times New Roman"/>
        </w:rPr>
        <w:tab/>
        <w:t>On its third claim for relief, for temporary, preliminary, and permanent injunctive relief enjoining the CalPX from taking any actions contrary to the declaration sought above; from issuing any additional chargeback notices to Sempra Energy Trading resulting from SCE’s, PG&amp;E’s or other PX Participants’ defaults; taking any action to collect on any chargeback notices previously issued to Sempra Energy Trading, including offsetting amounts otherwise due to Sempra Energy Trading based upon a chargeback notice; taking any action to draw down, liquidate, transfer, assign or call upon any collateral posted by Sempra Energy Trading (including its Letters of Credit); and requiring Sempra Energy Trading to post any additional security of any kind.</w:t>
      </w:r>
      <w:r>
        <w:rPr>
          <w:rFonts w:eastAsia="Times New Roman" w:cs="Times New Roman" w:ascii="Times New Roman" w:hAnsi="Times New Roman"/>
          <w:spacing w:val="-3"/>
        </w:rPr>
        <w:t xml:space="preserve"> </w:t>
      </w:r>
    </w:p>
    <w:p>
      <w:pPr>
        <w:pStyle w:val="Normal"/>
        <w:spacing w:lineRule="exact" w:line="480"/>
        <w:ind w:firstLine="720" w:end="0"/>
        <w:rPr/>
      </w:pPr>
      <w:r>
        <w:rPr>
          <w:rFonts w:eastAsia="Times New Roman" w:cs="Times New Roman" w:ascii="Times New Roman" w:hAnsi="Times New Roman"/>
          <w:spacing w:val="-3"/>
        </w:rPr>
        <w:t>(</w:t>
      </w:r>
      <w:r>
        <w:rPr>
          <w:rFonts w:eastAsia="Times New Roman" w:cs="Times New Roman" w:ascii="Times New Roman" w:hAnsi="Times New Roman"/>
          <w:spacing w:val="-3"/>
        </w:rPr>
        <w:fldChar w:fldCharType="begin"/>
      </w:r>
      <w:r>
        <w:rPr>
          <w:spacing w:val="-3"/>
          <w:rFonts w:eastAsia="Times New Roman" w:cs="Times New Roman" w:ascii="Times New Roman" w:hAnsi="Times New Roman"/>
        </w:rPr>
        <w:instrText xml:space="preserve"> SEQ level3 \* alphabetic </w:instrText>
      </w:r>
      <w:r>
        <w:rPr>
          <w:spacing w:val="-3"/>
          <w:rFonts w:eastAsia="Times New Roman" w:cs="Times New Roman" w:ascii="Times New Roman" w:hAnsi="Times New Roman"/>
        </w:rPr>
        <w:fldChar w:fldCharType="separate"/>
      </w:r>
      <w:r>
        <w:rPr>
          <w:spacing w:val="-3"/>
          <w:rFonts w:eastAsia="Times New Roman" w:cs="Times New Roman" w:ascii="Times New Roman" w:hAnsi="Times New Roman"/>
        </w:rPr>
        <w:t>d</w:t>
      </w:r>
      <w:r>
        <w:rPr>
          <w:spacing w:val="-3"/>
          <w:rFonts w:eastAsia="Times New Roman" w:cs="Times New Roman" w:ascii="Times New Roman" w:hAnsi="Times New Roman"/>
        </w:rPr>
        <w:fldChar w:fldCharType="end"/>
      </w:r>
      <w:r>
        <w:rPr>
          <w:rFonts w:eastAsia="Times New Roman" w:cs="Times New Roman" w:ascii="Times New Roman" w:hAnsi="Times New Roman"/>
          <w:spacing w:val="-3"/>
        </w:rPr>
        <w:t>)</w:t>
      </w:r>
      <w:r>
        <w:rPr>
          <w:rFonts w:eastAsia="Times New Roman" w:cs="Times New Roman" w:ascii="Times New Roman" w:hAnsi="Times New Roman"/>
        </w:rPr>
        <w:tab/>
        <w:t>Awarding attorney’s fees and recoverable costs of suit and other expenses;</w:t>
      </w:r>
    </w:p>
    <w:p>
      <w:pPr>
        <w:pStyle w:val="Normal"/>
        <w:spacing w:lineRule="exact" w:line="480"/>
        <w:ind w:firstLine="720" w:end="0"/>
        <w:rPr/>
      </w:pPr>
      <w:r>
        <w:rPr>
          <w:rFonts w:eastAsia="Times New Roman" w:cs="Times New Roman" w:ascii="Times New Roman" w:hAnsi="Times New Roman"/>
          <w:spacing w:val="-3"/>
        </w:rPr>
        <w:t>(</w:t>
      </w:r>
      <w:r>
        <w:rPr>
          <w:rFonts w:eastAsia="Times New Roman" w:cs="Times New Roman" w:ascii="Times New Roman" w:hAnsi="Times New Roman"/>
          <w:spacing w:val="-3"/>
        </w:rPr>
        <w:fldChar w:fldCharType="begin"/>
      </w:r>
      <w:r>
        <w:rPr>
          <w:spacing w:val="-3"/>
          <w:rFonts w:eastAsia="Times New Roman" w:cs="Times New Roman" w:ascii="Times New Roman" w:hAnsi="Times New Roman"/>
        </w:rPr>
        <w:instrText xml:space="preserve"> SEQ level3 \* alphabetic </w:instrText>
      </w:r>
      <w:r>
        <w:rPr>
          <w:spacing w:val="-3"/>
          <w:rFonts w:eastAsia="Times New Roman" w:cs="Times New Roman" w:ascii="Times New Roman" w:hAnsi="Times New Roman"/>
        </w:rPr>
        <w:fldChar w:fldCharType="separate"/>
      </w:r>
      <w:r>
        <w:rPr>
          <w:spacing w:val="-3"/>
          <w:rFonts w:eastAsia="Times New Roman" w:cs="Times New Roman" w:ascii="Times New Roman" w:hAnsi="Times New Roman"/>
        </w:rPr>
        <w:t>e</w:t>
      </w:r>
      <w:r>
        <w:rPr>
          <w:spacing w:val="-3"/>
          <w:rFonts w:eastAsia="Times New Roman" w:cs="Times New Roman" w:ascii="Times New Roman" w:hAnsi="Times New Roman"/>
        </w:rPr>
        <w:fldChar w:fldCharType="end"/>
      </w:r>
      <w:r>
        <w:rPr>
          <w:rFonts w:eastAsia="Times New Roman" w:cs="Times New Roman" w:ascii="Times New Roman" w:hAnsi="Times New Roman"/>
          <w:spacing w:val="-3"/>
        </w:rPr>
        <w:t>)</w:t>
      </w:r>
      <w:r>
        <w:rPr>
          <w:rFonts w:eastAsia="Times New Roman" w:cs="Times New Roman" w:ascii="Times New Roman" w:hAnsi="Times New Roman"/>
        </w:rPr>
        <w:tab/>
        <w:t xml:space="preserve">Ordering such further relief as the Court may deem just and proper.  </w:t>
      </w:r>
    </w:p>
    <w:p>
      <w:pPr>
        <w:pStyle w:val="BodyText"/>
        <w:tabs>
          <w:tab w:val="clear" w:pos="720"/>
          <w:tab w:val="left" w:pos="4680" w:leader="none"/>
        </w:tabs>
        <w:ind w:hanging="0" w:end="0"/>
        <w:rPr>
          <w:rFonts w:ascii="Times New Roman" w:hAnsi="Times New Roman" w:eastAsia="Times New Roman" w:cs="Times New Roman"/>
        </w:rPr>
      </w:pPr>
      <w:bookmarkStart w:id="23" w:name="Signature"/>
      <w:bookmarkEnd w:id="23"/>
      <w:r>
        <w:rPr>
          <w:rFonts w:eastAsia="Times New Roman" w:cs="Times New Roman" w:ascii="Times New Roman" w:hAnsi="Times New Roman"/>
        </w:rPr>
        <w:t>Dated: February 8, 2001</w:t>
        <w:tab/>
        <w:t>Respectfully submitted,</w:t>
      </w:r>
    </w:p>
    <w:p>
      <w:pPr>
        <w:pStyle w:val="BodyText"/>
        <w:spacing w:lineRule="exact" w:line="240"/>
        <w:ind w:hanging="0" w:end="0"/>
        <w:rPr>
          <w:rFonts w:ascii="Times New Roman" w:hAnsi="Times New Roman" w:eastAsia="Times New Roman" w:cs="Times New Roman"/>
        </w:rPr>
      </w:pPr>
      <w:r>
        <w:rPr>
          <w:rFonts w:eastAsia="Times New Roman" w:cs="Times New Roman" w:ascii="Times New Roman" w:hAnsi="Times New Roman"/>
        </w:rPr>
      </w:r>
    </w:p>
    <w:p>
      <w:pPr>
        <w:pStyle w:val="SignatureMacro"/>
        <w:rPr>
          <w:rFonts w:ascii="Times New Roman" w:hAnsi="Times New Roman" w:eastAsia="Times New Roman" w:cs="Times New Roman"/>
        </w:rPr>
      </w:pPr>
      <w:r>
        <w:rPr>
          <w:rFonts w:eastAsia="Times New Roman" w:cs="Times New Roman" w:ascii="Times New Roman" w:hAnsi="Times New Roman"/>
        </w:rPr>
        <w:t>STROOCK &amp; STROOCK &amp; LAVAN LLP</w:t>
      </w:r>
    </w:p>
    <w:p>
      <w:pPr>
        <w:pStyle w:val="SignatureMacro"/>
        <w:rPr>
          <w:rFonts w:ascii="Times New Roman" w:hAnsi="Times New Roman" w:eastAsia="Times New Roman" w:cs="Times New Roman"/>
        </w:rPr>
      </w:pPr>
      <w:r>
        <w:rPr>
          <w:rFonts w:eastAsia="Times New Roman" w:cs="Times New Roman" w:ascii="Times New Roman" w:hAnsi="Times New Roman"/>
        </w:rPr>
        <w:t>ALAN Z. YUDKOWSKY</w:t>
      </w:r>
    </w:p>
    <w:p>
      <w:pPr>
        <w:pStyle w:val="SignatureMacro"/>
        <w:rPr>
          <w:rFonts w:ascii="Times New Roman" w:hAnsi="Times New Roman" w:eastAsia="Times New Roman" w:cs="Times New Roman"/>
        </w:rPr>
      </w:pPr>
      <w:r>
        <w:rPr>
          <w:rFonts w:eastAsia="Times New Roman" w:cs="Times New Roman" w:ascii="Times New Roman" w:hAnsi="Times New Roman"/>
        </w:rPr>
        <w:t>PETER JAZAYERI</w:t>
      </w:r>
    </w:p>
    <w:p>
      <w:pPr>
        <w:pStyle w:val="SignatureMacro"/>
        <w:rPr>
          <w:rFonts w:ascii="Times New Roman" w:hAnsi="Times New Roman" w:eastAsia="Times New Roman" w:cs="Times New Roman"/>
        </w:rPr>
      </w:pPr>
      <w:r>
        <w:rPr>
          <w:rFonts w:eastAsia="Times New Roman" w:cs="Times New Roman" w:ascii="Times New Roman" w:hAnsi="Times New Roman"/>
        </w:rPr>
      </w:r>
    </w:p>
    <w:p>
      <w:pPr>
        <w:pStyle w:val="SignatureMacro"/>
        <w:rPr>
          <w:rFonts w:ascii="Times New Roman" w:hAnsi="Times New Roman" w:eastAsia="Times New Roman" w:cs="Times New Roman"/>
        </w:rPr>
      </w:pPr>
      <w:r>
        <w:rPr>
          <w:rFonts w:eastAsia="Times New Roman" w:cs="Times New Roman" w:ascii="Times New Roman" w:hAnsi="Times New Roman"/>
        </w:rPr>
      </w:r>
    </w:p>
    <w:p>
      <w:pPr>
        <w:pStyle w:val="SignatureMacro"/>
        <w:rPr>
          <w:rFonts w:ascii="Times New Roman" w:hAnsi="Times New Roman" w:eastAsia="Times New Roman" w:cs="Times New Roman"/>
        </w:rPr>
      </w:pPr>
      <w:r>
        <w:rPr>
          <w:rFonts w:eastAsia="Times New Roman" w:cs="Times New Roman" w:ascii="Times New Roman" w:hAnsi="Times New Roman"/>
        </w:rPr>
      </w:r>
    </w:p>
    <w:p>
      <w:pPr>
        <w:pStyle w:val="SignatureMacro"/>
        <w:rPr>
          <w:rFonts w:ascii="Times New Roman" w:hAnsi="Times New Roman" w:eastAsia="Times New Roman" w:cs="Times New Roman"/>
        </w:rPr>
      </w:pPr>
      <w:r>
        <w:rPr>
          <w:rFonts w:eastAsia="Times New Roman" w:cs="Times New Roman" w:ascii="Times New Roman" w:hAnsi="Times New Roman"/>
        </w:rPr>
        <w:t>By:______________________________</w:t>
      </w:r>
    </w:p>
    <w:p>
      <w:pPr>
        <w:pStyle w:val="SignatureMacro"/>
        <w:rPr>
          <w:rFonts w:ascii="Times New Roman" w:hAnsi="Times New Roman" w:eastAsia="Times New Roman" w:cs="Times New Roman"/>
        </w:rPr>
      </w:pPr>
      <w:r>
        <w:rPr>
          <w:rFonts w:eastAsia="Times New Roman" w:cs="Times New Roman" w:ascii="Times New Roman" w:hAnsi="Times New Roman"/>
        </w:rPr>
        <w:tab/>
        <w:tab/>
        <w:t>Alan Z. Yudkowsky</w:t>
      </w:r>
    </w:p>
    <w:p>
      <w:pPr>
        <w:pStyle w:val="SignatureMacro"/>
        <w:rPr>
          <w:rFonts w:ascii="Times New Roman" w:hAnsi="Times New Roman" w:eastAsia="Times New Roman" w:cs="Times New Roman"/>
        </w:rPr>
      </w:pPr>
      <w:r>
        <w:rPr>
          <w:rFonts w:eastAsia="Times New Roman" w:cs="Times New Roman" w:ascii="Times New Roman" w:hAnsi="Times New Roman"/>
        </w:rPr>
      </w:r>
    </w:p>
    <w:p>
      <w:pPr>
        <w:pStyle w:val="SignatureMacro"/>
        <w:rPr>
          <w:rFonts w:ascii="Times New Roman" w:hAnsi="Times New Roman" w:eastAsia="Times New Roman" w:cs="Times New Roman"/>
        </w:rPr>
      </w:pPr>
      <w:r>
        <w:rPr>
          <w:rFonts w:eastAsia="Times New Roman" w:cs="Times New Roman" w:ascii="Times New Roman" w:hAnsi="Times New Roman"/>
        </w:rPr>
        <w:t>Attorneys for Plaintiff</w:t>
        <w:br/>
        <w:t>SEMPRA ENERGY TRADING CORPORATION</w:t>
      </w:r>
    </w:p>
    <w:p>
      <w:pPr>
        <w:pStyle w:val="SignatureMacro"/>
        <w:ind w:start="0" w:end="0"/>
        <w:rPr>
          <w:rFonts w:ascii="Times New Roman" w:hAnsi="Times New Roman" w:eastAsia="Times New Roman" w:cs="Times New Roman"/>
        </w:rPr>
      </w:pPr>
      <w:r>
        <w:rPr>
          <w:rFonts w:eastAsia="Times New Roman" w:cs="Times New Roman" w:ascii="Times New Roman" w:hAnsi="Times New Roman"/>
        </w:rPr>
      </w:r>
    </w:p>
    <w:p>
      <w:pPr>
        <w:pStyle w:val="SignatureMacro"/>
        <w:ind w:start="0" w:end="0"/>
        <w:rPr>
          <w:rFonts w:ascii="Times New Roman" w:hAnsi="Times New Roman" w:eastAsia="Times New Roman" w:cs="Times New Roman"/>
        </w:rPr>
      </w:pPr>
      <w:r>
        <w:rPr>
          <w:rFonts w:eastAsia="Times New Roman" w:cs="Times New Roman" w:ascii="Times New Roman" w:hAnsi="Times New Roman"/>
        </w:rPr>
      </w:r>
    </w:p>
    <w:p>
      <w:pPr>
        <w:pStyle w:val="SignatureMacro"/>
        <w:ind w:start="0" w:end="0"/>
        <w:rPr>
          <w:rFonts w:ascii="Times New Roman" w:hAnsi="Times New Roman" w:eastAsia="Times New Roman" w:cs="Times New Roman"/>
        </w:rPr>
      </w:pPr>
      <w:r>
        <w:rPr>
          <w:rFonts w:eastAsia="Times New Roman"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944" w:right="720" w:gutter="0" w:header="0" w:top="1152" w:footer="0" w:bottom="12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Times New Roman">
    <w:charset w:val="01"/>
    <w:family w:val="roman"/>
    <w:pitch w:val="variable"/>
  </w:font>
  <w:font w:name="Arial">
    <w:charset w:val="01"/>
    <w:family w:val="swiss"/>
    <w:pitch w:val="variable"/>
  </w:font>
  <w:font w:name="Courier New">
    <w:charset w:val="01"/>
    <w:family w:val="modern"/>
    <w:pitch w:val="default"/>
  </w:font>
  <w:font w:name="CG Times">
    <w:altName w:val="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035040" cy="14605"/>
              <wp:effectExtent l="0" t="0" r="0" b="0"/>
              <wp:wrapNone/>
              <wp:docPr id="13" name="Frame7"/>
              <a:graphic xmlns:a="http://schemas.openxmlformats.org/drawingml/2006/main">
                <a:graphicData uri="http://schemas.microsoft.com/office/word/2010/wordprocessingShape">
                  <wps:wsp>
                    <wps:cNvSpPr txBox="1"/>
                    <wps:spPr>
                      <a:xfrm>
                        <a:off x="0" y="0"/>
                        <a:ext cx="6035040" cy="14605"/>
                      </a:xfrm>
                      <a:prstGeom prst="rect"/>
                      <a:solidFill>
                        <a:srgbClr val="FFFFFF"/>
                      </a:solidFill>
                    </wps:spPr>
                    <wps:txbx>
                      <w:txbxContent>
                        <w:p>
                          <w:pPr>
                            <w:pStyle w:val="Normal"/>
                            <w:keepLines/>
                            <w:tabs>
                              <w:tab w:val="clear" w:pos="720"/>
                              <w:tab w:val="center" w:pos="4680" w:leader="none"/>
                            </w:tabs>
                            <w:spacing w:lineRule="atLeast" w:line="60"/>
                            <w:rPr/>
                          </w:pPr>
                          <w:r>
                            <w:rPr>
                              <w:rFonts w:eastAsia="Times New Roman" w:cs="Times New Roman" w:ascii="Times New Roman" w:hAnsi="Times New Roman"/>
                              <w:sz w:val="20"/>
                              <w:szCs w:val="20"/>
                            </w:rPr>
                            <w:tab/>
                            <w:t xml:space="preserve">- </w:t>
                          </w:r>
                          <w:r>
                            <w:rPr>
                              <w:rStyle w:val="PageNumber"/>
                              <w:rFonts w:eastAsia="Times New Roman" w:cs="Times New Roman" w:ascii="Times New Roman" w:hAnsi="Times New Roman"/>
                              <w:sz w:val="20"/>
                              <w:szCs w:val="20"/>
                            </w:rPr>
                            <w:fldChar w:fldCharType="begin"/>
                          </w:r>
                          <w:r>
                            <w:rPr>
                              <w:rStyle w:val="PageNumber"/>
                              <w:sz w:val="20"/>
                              <w:szCs w:val="20"/>
                              <w:rFonts w:eastAsia="Times New Roman" w:cs="Times New Roman" w:ascii="Times New Roman" w:hAnsi="Times New Roman"/>
                            </w:rPr>
                            <w:instrText xml:space="preserve"> PAGE </w:instrText>
                          </w:r>
                          <w:r>
                            <w:rPr>
                              <w:rStyle w:val="PageNumber"/>
                              <w:sz w:val="20"/>
                              <w:szCs w:val="20"/>
                              <w:rFonts w:eastAsia="Times New Roman" w:cs="Times New Roman" w:ascii="Times New Roman" w:hAnsi="Times New Roman"/>
                            </w:rPr>
                            <w:fldChar w:fldCharType="separate"/>
                          </w:r>
                          <w:r>
                            <w:rPr>
                              <w:rStyle w:val="PageNumber"/>
                              <w:sz w:val="20"/>
                              <w:szCs w:val="20"/>
                              <w:rFonts w:eastAsia="Times New Roman" w:cs="Times New Roman" w:ascii="Times New Roman" w:hAnsi="Times New Roman"/>
                            </w:rPr>
                            <w:t>0</w:t>
                          </w:r>
                          <w:r>
                            <w:rPr>
                              <w:rStyle w:val="PageNumber"/>
                              <w:sz w:val="20"/>
                              <w:szCs w:val="20"/>
                              <w:rFonts w:eastAsia="Times New Roman" w:cs="Times New Roman" w:ascii="Times New Roman" w:hAnsi="Times New Roman"/>
                            </w:rPr>
                            <w:fldChar w:fldCharType="end"/>
                          </w:r>
                          <w:r>
                            <w:rPr>
                              <w:rStyle w:val="PageNumber"/>
                              <w:rFonts w:eastAsia="Times New Roman" w:cs="Times New Roman" w:ascii="Times New Roman" w:hAnsi="Times New Roman"/>
                              <w:sz w:val="20"/>
                              <w:szCs w:val="20"/>
                            </w:rPr>
                            <w:t xml:space="preserv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16"/>
                              <w:szCs w:val="16"/>
                            </w:rPr>
                            <w:t>50130961v4</w:t>
                          </w:r>
                        </w:p>
                        <w:p>
                          <w:pPr>
                            <w:pStyle w:val="Normal"/>
                            <w:keepLines/>
                            <w:spacing w:lineRule="atLeast" w:line="60"/>
                            <w:jc w:val="end"/>
                            <w:rPr>
                              <w:rFonts w:ascii="Times New Roman" w:hAnsi="Times New Roman" w:eastAsia="Times New Roman" w:cs="Times New Roman"/>
                              <w:smallCaps/>
                              <w:sz w:val="16"/>
                              <w:szCs w:val="16"/>
                            </w:rPr>
                          </w:pPr>
                          <w:r>
                            <w:rPr>
                              <w:rFonts w:eastAsia="Times New Roman" w:cs="Times New Roman" w:ascii="Times New Roman" w:hAnsi="Times New Roman"/>
                              <w:smallCaps/>
                              <w:sz w:val="16"/>
                              <w:szCs w:val="16"/>
                            </w:rPr>
                          </w:r>
                        </w:p>
                      </w:txbxContent>
                    </wps:txbx>
                    <wps:bodyPr anchor="t" lIns="0" tIns="0" rIns="0" bIns="0">
                      <a:noAutofit/>
                    </wps:bodyPr>
                  </wps:wsp>
                </a:graphicData>
              </a:graphic>
            </wp:anchor>
          </w:drawing>
        </mc:Choice>
        <mc:Fallback>
          <w:pict>
            <v:rect style="position:absolute;rotation:-0;width:475.2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keepLines/>
                      <w:tabs>
                        <w:tab w:val="clear" w:pos="720"/>
                        <w:tab w:val="center" w:pos="4680" w:leader="none"/>
                      </w:tabs>
                      <w:spacing w:lineRule="atLeast" w:line="60"/>
                      <w:rPr/>
                    </w:pPr>
                    <w:r>
                      <w:rPr>
                        <w:rFonts w:eastAsia="Times New Roman" w:cs="Times New Roman" w:ascii="Times New Roman" w:hAnsi="Times New Roman"/>
                        <w:sz w:val="20"/>
                        <w:szCs w:val="20"/>
                      </w:rPr>
                      <w:tab/>
                      <w:t xml:space="preserve">- </w:t>
                    </w:r>
                    <w:r>
                      <w:rPr>
                        <w:rStyle w:val="PageNumber"/>
                        <w:rFonts w:eastAsia="Times New Roman" w:cs="Times New Roman" w:ascii="Times New Roman" w:hAnsi="Times New Roman"/>
                        <w:sz w:val="20"/>
                        <w:szCs w:val="20"/>
                      </w:rPr>
                      <w:fldChar w:fldCharType="begin"/>
                    </w:r>
                    <w:r>
                      <w:rPr>
                        <w:rStyle w:val="PageNumber"/>
                        <w:sz w:val="20"/>
                        <w:szCs w:val="20"/>
                        <w:rFonts w:eastAsia="Times New Roman" w:cs="Times New Roman" w:ascii="Times New Roman" w:hAnsi="Times New Roman"/>
                      </w:rPr>
                      <w:instrText xml:space="preserve"> PAGE </w:instrText>
                    </w:r>
                    <w:r>
                      <w:rPr>
                        <w:rStyle w:val="PageNumber"/>
                        <w:sz w:val="20"/>
                        <w:szCs w:val="20"/>
                        <w:rFonts w:eastAsia="Times New Roman" w:cs="Times New Roman" w:ascii="Times New Roman" w:hAnsi="Times New Roman"/>
                      </w:rPr>
                      <w:fldChar w:fldCharType="separate"/>
                    </w:r>
                    <w:r>
                      <w:rPr>
                        <w:rStyle w:val="PageNumber"/>
                        <w:sz w:val="20"/>
                        <w:szCs w:val="20"/>
                        <w:rFonts w:eastAsia="Times New Roman" w:cs="Times New Roman" w:ascii="Times New Roman" w:hAnsi="Times New Roman"/>
                      </w:rPr>
                      <w:t>0</w:t>
                    </w:r>
                    <w:r>
                      <w:rPr>
                        <w:rStyle w:val="PageNumber"/>
                        <w:sz w:val="20"/>
                        <w:szCs w:val="20"/>
                        <w:rFonts w:eastAsia="Times New Roman" w:cs="Times New Roman" w:ascii="Times New Roman" w:hAnsi="Times New Roman"/>
                      </w:rPr>
                      <w:fldChar w:fldCharType="end"/>
                    </w:r>
                    <w:r>
                      <w:rPr>
                        <w:rStyle w:val="PageNumber"/>
                        <w:rFonts w:eastAsia="Times New Roman" w:cs="Times New Roman" w:ascii="Times New Roman" w:hAnsi="Times New Roman"/>
                        <w:sz w:val="20"/>
                        <w:szCs w:val="20"/>
                      </w:rPr>
                      <w:t xml:space="preserv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16"/>
                        <w:szCs w:val="16"/>
                      </w:rPr>
                      <w:t>50130961v4</w:t>
                    </w:r>
                  </w:p>
                  <w:p>
                    <w:pPr>
                      <w:pStyle w:val="Normal"/>
                      <w:keepLines/>
                      <w:spacing w:lineRule="atLeast" w:line="60"/>
                      <w:jc w:val="end"/>
                      <w:rPr>
                        <w:rFonts w:ascii="Times New Roman" w:hAnsi="Times New Roman" w:eastAsia="Times New Roman" w:cs="Times New Roman"/>
                        <w:smallCaps/>
                        <w:sz w:val="16"/>
                        <w:szCs w:val="16"/>
                      </w:rPr>
                    </w:pPr>
                    <w:r>
                      <w:rPr>
                        <w:rFonts w:eastAsia="Times New Roman" w:cs="Times New Roman" w:ascii="Times New Roman" w:hAnsi="Times New Roman"/>
                        <w:smallCaps/>
                        <w:sz w:val="16"/>
                        <w:szCs w:val="16"/>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6035040" cy="457200"/>
              <wp:effectExtent l="0" t="0" r="0" b="0"/>
              <wp:wrapNone/>
              <wp:docPr id="14" name="Frame1"/>
              <a:graphic xmlns:a="http://schemas.openxmlformats.org/drawingml/2006/main">
                <a:graphicData uri="http://schemas.microsoft.com/office/word/2010/wordprocessingShape">
                  <wps:wsp>
                    <wps:cNvSpPr txBox="1"/>
                    <wps:spPr>
                      <a:xfrm>
                        <a:off x="0" y="0"/>
                        <a:ext cx="6035040" cy="457200"/>
                      </a:xfrm>
                      <a:prstGeom prst="rect"/>
                      <a:solidFill>
                        <a:srgbClr val="FFFFFF"/>
                      </a:solidFill>
                    </wps:spPr>
                    <wps:txbx>
                      <w:txbxContent>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t>50130961v4</w:t>
                          </w:r>
                        </w:p>
                      </w:txbxContent>
                    </wps:txbx>
                    <wps:bodyPr anchor="t" lIns="0" tIns="0" rIns="0" bIns="0">
                      <a:noAutofit/>
                    </wps:bodyPr>
                  </wps:wsp>
                </a:graphicData>
              </a:graphic>
            </wp:anchor>
          </w:drawing>
        </mc:Choice>
        <mc:Fallback>
          <w:pict>
            <v:rect style="position:absolute;rotation:-0;width:475.2pt;height:3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t>50130961v4</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035040" cy="14605"/>
              <wp:effectExtent l="0" t="0" r="0" b="0"/>
              <wp:wrapNone/>
              <wp:docPr id="1" name="Frame8"/>
              <a:graphic xmlns:a="http://schemas.openxmlformats.org/drawingml/2006/main">
                <a:graphicData uri="http://schemas.microsoft.com/office/word/2010/wordprocessingShape">
                  <wps:wsp>
                    <wps:cNvSpPr txBox="1"/>
                    <wps:spPr>
                      <a:xfrm>
                        <a:off x="0" y="0"/>
                        <a:ext cx="6035040" cy="14605"/>
                      </a:xfrm>
                      <a:prstGeom prst="rect"/>
                      <a:solidFill>
                        <a:srgbClr val="FFFFFF"/>
                      </a:solidFill>
                    </wps:spPr>
                    <wps:txbx>
                      <w:txbxContent>
                        <w:p>
                          <w:pPr>
                            <w:pStyle w:val="Header"/>
                            <w:rPr/>
                          </w:pPr>
                          <w:r>
                            <w:rPr/>
                          </w:r>
                        </w:p>
                        <w:p>
                          <w:pPr>
                            <w:pStyle w:val="Header"/>
                            <w:rPr/>
                          </w:pPr>
                          <w:r>
                            <w:rPr/>
                            <w:drawing>
                              <wp:inline distT="0" distB="0" distL="0" distR="0">
                                <wp:extent cx="655955" cy="21583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655955" cy="2158365"/>
                                        </a:xfrm>
                                        <a:prstGeom prst="rect">
                                          <a:avLst/>
                                        </a:prstGeom>
                                      </pic:spPr>
                                    </pic:pic>
                                  </a:graphicData>
                                </a:graphic>
                              </wp:inline>
                            </w:drawing>
                          </w:r>
                        </w:p>
                        <w:p>
                          <w:pPr>
                            <w:pStyle w:val="Header"/>
                            <w:rPr/>
                          </w:pPr>
                          <w:r>
                            <w:rPr/>
                          </w:r>
                        </w:p>
                        <w:p>
                          <w:pPr>
                            <w:pStyle w:val="Header"/>
                            <w:rPr/>
                          </w:pPr>
                          <w:r>
                            <w:rPr/>
                          </w:r>
                        </w:p>
                      </w:txbxContent>
                    </wps:txbx>
                    <wps:bodyPr anchor="t" lIns="0" tIns="0" rIns="0" bIns="0">
                      <a:noAutofit/>
                    </wps:bodyPr>
                  </wps:wsp>
                </a:graphicData>
              </a:graphic>
            </wp:anchor>
          </w:drawing>
        </mc:Choice>
        <mc:Fallback>
          <w:pict>
            <v:rect style="position:absolute;rotation:-0;width:475.2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p>
                    <w:pPr>
                      <w:pStyle w:val="Header"/>
                      <w:rPr/>
                    </w:pPr>
                    <w:r>
                      <w:rPr/>
                      <w:drawing>
                        <wp:inline distT="0" distB="0" distL="0" distR="0">
                          <wp:extent cx="655955" cy="21583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655955" cy="2158365"/>
                                  </a:xfrm>
                                  <a:prstGeom prst="rect">
                                    <a:avLst/>
                                  </a:prstGeom>
                                </pic:spPr>
                              </pic:pic>
                            </a:graphicData>
                          </a:graphic>
                        </wp:inline>
                      </w:drawing>
                    </w:r>
                  </w:p>
                  <w:p>
                    <w:pPr>
                      <w:pStyle w:val="Header"/>
                      <w:rPr/>
                    </w:pPr>
                    <w:r>
                      <w:rPr/>
                    </w:r>
                  </w:p>
                  <w:p>
                    <w:pPr>
                      <w:pStyle w:val="Header"/>
                      <w:rPr/>
                    </w:pPr>
                    <w:r>
                      <w:rPr/>
                    </w:r>
                  </w:p>
                </w:txbxContent>
              </v:textbox>
              <w10:wrap type="none"/>
            </v:rect>
          </w:pict>
        </mc:Fallback>
      </mc:AlternateContent>
    </w:r>
    <w:r>
      <mc:AlternateContent>
        <mc:Choice Requires="wps">
          <w:drawing>
            <wp:anchor behindDoc="0" distT="0" distB="0" distL="0" distR="0" simplePos="0" locked="0" layoutInCell="1" allowOverlap="1" relativeHeight="0">
              <wp:simplePos x="0" y="0"/>
              <wp:positionH relativeFrom="page">
                <wp:posOffset>869315</wp:posOffset>
              </wp:positionH>
              <wp:positionV relativeFrom="page">
                <wp:posOffset>640715</wp:posOffset>
              </wp:positionV>
              <wp:extent cx="182880" cy="8568055"/>
              <wp:effectExtent l="0" t="0" r="0" b="0"/>
              <wp:wrapSquare wrapText="bothSides"/>
              <wp:docPr id="4" name="Frame9"/>
              <a:graphic xmlns:a="http://schemas.openxmlformats.org/drawingml/2006/main">
                <a:graphicData uri="http://schemas.microsoft.com/office/word/2010/wordprocessingShape">
                  <wps:wsp>
                    <wps:cNvSpPr txBox="1"/>
                    <wps:spPr>
                      <a:xfrm>
                        <a:off x="0" y="0"/>
                        <a:ext cx="182880" cy="8568055"/>
                      </a:xfrm>
                      <a:prstGeom prst="rect"/>
                      <a:solidFill>
                        <a:srgbClr val="FFFFFF">
                          <a:alpha val="0"/>
                        </a:srgbClr>
                      </a:solidFill>
                    </wps:spPr>
                    <wps:txbx>
                      <w:txbxContent>
                        <w:p>
                          <w:pPr>
                            <w:pStyle w:val="zYLineNumbers"/>
                            <w:rPr/>
                          </w:pPr>
                          <w:r>
                            <w:rPr/>
                            <w:t>1</w:t>
                          </w:r>
                        </w:p>
                        <w:p>
                          <w:pPr>
                            <w:pStyle w:val="zYLineNumbers"/>
                            <w:rPr/>
                          </w:pPr>
                          <w:r>
                            <w:rPr/>
                            <w:t>2</w:t>
                          </w:r>
                        </w:p>
                        <w:p>
                          <w:pPr>
                            <w:pStyle w:val="zYLineNumbers"/>
                            <w:rPr/>
                          </w:pPr>
                          <w:r>
                            <w:rPr/>
                            <w:t>3</w:t>
                          </w:r>
                        </w:p>
                        <w:p>
                          <w:pPr>
                            <w:pStyle w:val="zYLineNumbers"/>
                            <w:rPr/>
                          </w:pPr>
                          <w:r>
                            <w:rPr/>
                            <w:t>4</w:t>
                          </w:r>
                        </w:p>
                        <w:p>
                          <w:pPr>
                            <w:pStyle w:val="zYLineNumbers"/>
                            <w:rPr/>
                          </w:pPr>
                          <w:r>
                            <w:rPr/>
                            <w:t>5</w:t>
                          </w:r>
                        </w:p>
                        <w:p>
                          <w:pPr>
                            <w:pStyle w:val="zYLineNumbers"/>
                            <w:rPr/>
                          </w:pPr>
                          <w:r>
                            <w:rPr/>
                            <w:t>6</w:t>
                          </w:r>
                        </w:p>
                        <w:p>
                          <w:pPr>
                            <w:pStyle w:val="zYLineNumbers"/>
                            <w:rPr/>
                          </w:pPr>
                          <w:r>
                            <w:rPr/>
                            <w:t>7</w:t>
                          </w:r>
                        </w:p>
                        <w:p>
                          <w:pPr>
                            <w:pStyle w:val="zYLineNumbers"/>
                            <w:rPr/>
                          </w:pPr>
                          <w:r>
                            <w:rPr/>
                            <w:t>8</w:t>
                          </w:r>
                        </w:p>
                        <w:p>
                          <w:pPr>
                            <w:pStyle w:val="zYLineNumbers"/>
                            <w:rPr/>
                          </w:pPr>
                          <w:r>
                            <w:rPr/>
                            <w:t>9</w:t>
                          </w:r>
                        </w:p>
                        <w:p>
                          <w:pPr>
                            <w:pStyle w:val="zYLineNumbers"/>
                            <w:rPr/>
                          </w:pPr>
                          <w:r>
                            <w:rPr/>
                            <w:t>10</w:t>
                          </w:r>
                        </w:p>
                        <w:p>
                          <w:pPr>
                            <w:pStyle w:val="zYLineNumbers"/>
                            <w:rPr/>
                          </w:pPr>
                          <w:r>
                            <w:rPr/>
                            <w:t>11</w:t>
                          </w:r>
                        </w:p>
                        <w:p>
                          <w:pPr>
                            <w:pStyle w:val="zYLineNumbers"/>
                            <w:rPr/>
                          </w:pPr>
                          <w:r>
                            <w:rPr/>
                            <w:t>12</w:t>
                          </w:r>
                        </w:p>
                        <w:p>
                          <w:pPr>
                            <w:pStyle w:val="zYLineNumbers"/>
                            <w:rPr/>
                          </w:pPr>
                          <w:r>
                            <w:rPr/>
                            <w:t>13</w:t>
                          </w:r>
                        </w:p>
                        <w:p>
                          <w:pPr>
                            <w:pStyle w:val="zYLineNumbers"/>
                            <w:rPr/>
                          </w:pPr>
                          <w:r>
                            <w:rPr/>
                            <w:t>14</w:t>
                          </w:r>
                        </w:p>
                        <w:p>
                          <w:pPr>
                            <w:pStyle w:val="zYLineNumbers"/>
                            <w:rPr/>
                          </w:pPr>
                          <w:r>
                            <w:rPr/>
                            <w:t>15</w:t>
                          </w:r>
                        </w:p>
                        <w:p>
                          <w:pPr>
                            <w:pStyle w:val="zYLineNumbers"/>
                            <w:rPr/>
                          </w:pPr>
                          <w:r>
                            <w:rPr/>
                            <w:t>16</w:t>
                          </w:r>
                        </w:p>
                        <w:p>
                          <w:pPr>
                            <w:pStyle w:val="zYLineNumbers"/>
                            <w:rPr/>
                          </w:pPr>
                          <w:r>
                            <w:rPr/>
                            <w:t>17</w:t>
                          </w:r>
                        </w:p>
                        <w:p>
                          <w:pPr>
                            <w:pStyle w:val="zYLineNumbers"/>
                            <w:rPr/>
                          </w:pPr>
                          <w:r>
                            <w:rPr/>
                            <w:t>18</w:t>
                          </w:r>
                        </w:p>
                        <w:p>
                          <w:pPr>
                            <w:pStyle w:val="zYLineNumbers"/>
                            <w:rPr/>
                          </w:pPr>
                          <w:r>
                            <w:rPr/>
                            <w:t>19</w:t>
                          </w:r>
                        </w:p>
                        <w:p>
                          <w:pPr>
                            <w:pStyle w:val="zYLineNumbers"/>
                            <w:rPr/>
                          </w:pPr>
                          <w:r>
                            <w:rPr/>
                            <w:t>20</w:t>
                          </w:r>
                        </w:p>
                        <w:p>
                          <w:pPr>
                            <w:pStyle w:val="zYLineNumbers"/>
                            <w:rPr/>
                          </w:pPr>
                          <w:r>
                            <w:rPr/>
                            <w:t>21</w:t>
                          </w:r>
                        </w:p>
                        <w:p>
                          <w:pPr>
                            <w:pStyle w:val="zYLineNumbers"/>
                            <w:rPr/>
                          </w:pPr>
                          <w:r>
                            <w:rPr/>
                            <w:t>22</w:t>
                          </w:r>
                        </w:p>
                        <w:p>
                          <w:pPr>
                            <w:pStyle w:val="zYLineNumbers"/>
                            <w:rPr/>
                          </w:pPr>
                          <w:r>
                            <w:rPr/>
                            <w:t>23</w:t>
                          </w:r>
                        </w:p>
                        <w:p>
                          <w:pPr>
                            <w:pStyle w:val="zYLineNumbers"/>
                            <w:rPr/>
                          </w:pPr>
                          <w:r>
                            <w:rPr/>
                            <w:t>24</w:t>
                          </w:r>
                        </w:p>
                        <w:p>
                          <w:pPr>
                            <w:pStyle w:val="zYLineNumbers"/>
                            <w:rPr/>
                          </w:pPr>
                          <w:r>
                            <w:rPr/>
                            <w:t>25</w:t>
                          </w:r>
                        </w:p>
                        <w:p>
                          <w:pPr>
                            <w:pStyle w:val="zYLineNumbers"/>
                            <w:rPr/>
                          </w:pPr>
                          <w:r>
                            <w:rPr/>
                            <w:t>26</w:t>
                          </w:r>
                        </w:p>
                        <w:p>
                          <w:pPr>
                            <w:pStyle w:val="zYLineNumbers"/>
                            <w:rPr/>
                          </w:pPr>
                          <w:r>
                            <w:rPr/>
                            <w:t>27</w:t>
                          </w:r>
                        </w:p>
                        <w:p>
                          <w:pPr>
                            <w:pStyle w:val="zYLineNumbers"/>
                            <w:rPr/>
                          </w:pPr>
                          <w:r>
                            <w:rPr/>
                            <w:t>28</w:t>
                          </w:r>
                        </w:p>
                        <w:p>
                          <w:pPr>
                            <w:pStyle w:val="zYLineNumbers"/>
                            <w:rPr/>
                          </w:pPr>
                          <w:r>
                            <w:rPr/>
                            <w:t>29</w:t>
                          </w:r>
                        </w:p>
                        <w:p>
                          <w:pPr>
                            <w:pStyle w:val="zYLineNumbers"/>
                            <w:rPr/>
                          </w:pPr>
                          <w:r>
                            <w:rPr/>
                            <w:t>30</w:t>
                          </w:r>
                        </w:p>
                        <w:p>
                          <w:pPr>
                            <w:pStyle w:val="zYLineNumbers"/>
                            <w:rPr/>
                          </w:pPr>
                          <w:r>
                            <w:rPr/>
                            <w:t>31</w:t>
                          </w:r>
                        </w:p>
                        <w:p>
                          <w:pPr>
                            <w:pStyle w:val="zYLineNumbers"/>
                            <w:rPr/>
                          </w:pPr>
                          <w:r>
                            <w:rPr/>
                            <w:t>32</w:t>
                          </w:r>
                        </w:p>
                        <w:p>
                          <w:pPr>
                            <w:pStyle w:val="zYLineNumbers"/>
                            <w:rPr/>
                          </w:pPr>
                          <w:r>
                            <w:rPr/>
                            <w:t>33</w:t>
                          </w:r>
                        </w:p>
                        <w:p>
                          <w:pPr>
                            <w:pStyle w:val="zYLineNumbers"/>
                            <w:rPr/>
                          </w:pPr>
                          <w:r>
                            <w:rPr/>
                            <w:t>34</w:t>
                          </w:r>
                        </w:p>
                        <w:p>
                          <w:pPr>
                            <w:pStyle w:val="zYLineNumbers"/>
                            <w:rPr/>
                          </w:pPr>
                          <w:r>
                            <w:rPr/>
                            <w:t>35</w:t>
                          </w:r>
                        </w:p>
                        <w:p>
                          <w:pPr>
                            <w:pStyle w:val="zYLineNumbers"/>
                            <w:rPr/>
                          </w:pPr>
                          <w:r>
                            <w:rPr/>
                            <w:t>36</w:t>
                          </w:r>
                        </w:p>
                      </w:txbxContent>
                    </wps:txbx>
                    <wps:bodyPr anchor="t" lIns="0" tIns="0" rIns="0" bIns="0">
                      <a:noAutofit/>
                    </wps:bodyPr>
                  </wps:wsp>
                </a:graphicData>
              </a:graphic>
            </wp:anchor>
          </w:drawing>
        </mc:Choice>
        <mc:Fallback>
          <w:pict>
            <v:rect fillcolor="#FFFFFF" style="position:absolute;rotation:-0;width:14.4pt;height:674.65pt;mso-wrap-distance-left:0pt;mso-wrap-distance-right:0pt;mso-wrap-distance-top:0pt;mso-wrap-distance-bottom:0pt;margin-top:50.45pt;mso-position-vertical-relative:page;margin-left:68.45pt;mso-position-horizontal-relative:page">
              <v:fill opacity="0f"/>
              <v:textbox inset="0in,0in,0in,0in">
                <w:txbxContent>
                  <w:p>
                    <w:pPr>
                      <w:pStyle w:val="zYLineNumbers"/>
                      <w:rPr/>
                    </w:pPr>
                    <w:r>
                      <w:rPr/>
                      <w:t>1</w:t>
                    </w:r>
                  </w:p>
                  <w:p>
                    <w:pPr>
                      <w:pStyle w:val="zYLineNumbers"/>
                      <w:rPr/>
                    </w:pPr>
                    <w:r>
                      <w:rPr/>
                      <w:t>2</w:t>
                    </w:r>
                  </w:p>
                  <w:p>
                    <w:pPr>
                      <w:pStyle w:val="zYLineNumbers"/>
                      <w:rPr/>
                    </w:pPr>
                    <w:r>
                      <w:rPr/>
                      <w:t>3</w:t>
                    </w:r>
                  </w:p>
                  <w:p>
                    <w:pPr>
                      <w:pStyle w:val="zYLineNumbers"/>
                      <w:rPr/>
                    </w:pPr>
                    <w:r>
                      <w:rPr/>
                      <w:t>4</w:t>
                    </w:r>
                  </w:p>
                  <w:p>
                    <w:pPr>
                      <w:pStyle w:val="zYLineNumbers"/>
                      <w:rPr/>
                    </w:pPr>
                    <w:r>
                      <w:rPr/>
                      <w:t>5</w:t>
                    </w:r>
                  </w:p>
                  <w:p>
                    <w:pPr>
                      <w:pStyle w:val="zYLineNumbers"/>
                      <w:rPr/>
                    </w:pPr>
                    <w:r>
                      <w:rPr/>
                      <w:t>6</w:t>
                    </w:r>
                  </w:p>
                  <w:p>
                    <w:pPr>
                      <w:pStyle w:val="zYLineNumbers"/>
                      <w:rPr/>
                    </w:pPr>
                    <w:r>
                      <w:rPr/>
                      <w:t>7</w:t>
                    </w:r>
                  </w:p>
                  <w:p>
                    <w:pPr>
                      <w:pStyle w:val="zYLineNumbers"/>
                      <w:rPr/>
                    </w:pPr>
                    <w:r>
                      <w:rPr/>
                      <w:t>8</w:t>
                    </w:r>
                  </w:p>
                  <w:p>
                    <w:pPr>
                      <w:pStyle w:val="zYLineNumbers"/>
                      <w:rPr/>
                    </w:pPr>
                    <w:r>
                      <w:rPr/>
                      <w:t>9</w:t>
                    </w:r>
                  </w:p>
                  <w:p>
                    <w:pPr>
                      <w:pStyle w:val="zYLineNumbers"/>
                      <w:rPr/>
                    </w:pPr>
                    <w:r>
                      <w:rPr/>
                      <w:t>10</w:t>
                    </w:r>
                  </w:p>
                  <w:p>
                    <w:pPr>
                      <w:pStyle w:val="zYLineNumbers"/>
                      <w:rPr/>
                    </w:pPr>
                    <w:r>
                      <w:rPr/>
                      <w:t>11</w:t>
                    </w:r>
                  </w:p>
                  <w:p>
                    <w:pPr>
                      <w:pStyle w:val="zYLineNumbers"/>
                      <w:rPr/>
                    </w:pPr>
                    <w:r>
                      <w:rPr/>
                      <w:t>12</w:t>
                    </w:r>
                  </w:p>
                  <w:p>
                    <w:pPr>
                      <w:pStyle w:val="zYLineNumbers"/>
                      <w:rPr/>
                    </w:pPr>
                    <w:r>
                      <w:rPr/>
                      <w:t>13</w:t>
                    </w:r>
                  </w:p>
                  <w:p>
                    <w:pPr>
                      <w:pStyle w:val="zYLineNumbers"/>
                      <w:rPr/>
                    </w:pPr>
                    <w:r>
                      <w:rPr/>
                      <w:t>14</w:t>
                    </w:r>
                  </w:p>
                  <w:p>
                    <w:pPr>
                      <w:pStyle w:val="zYLineNumbers"/>
                      <w:rPr/>
                    </w:pPr>
                    <w:r>
                      <w:rPr/>
                      <w:t>15</w:t>
                    </w:r>
                  </w:p>
                  <w:p>
                    <w:pPr>
                      <w:pStyle w:val="zYLineNumbers"/>
                      <w:rPr/>
                    </w:pPr>
                    <w:r>
                      <w:rPr/>
                      <w:t>16</w:t>
                    </w:r>
                  </w:p>
                  <w:p>
                    <w:pPr>
                      <w:pStyle w:val="zYLineNumbers"/>
                      <w:rPr/>
                    </w:pPr>
                    <w:r>
                      <w:rPr/>
                      <w:t>17</w:t>
                    </w:r>
                  </w:p>
                  <w:p>
                    <w:pPr>
                      <w:pStyle w:val="zYLineNumbers"/>
                      <w:rPr/>
                    </w:pPr>
                    <w:r>
                      <w:rPr/>
                      <w:t>18</w:t>
                    </w:r>
                  </w:p>
                  <w:p>
                    <w:pPr>
                      <w:pStyle w:val="zYLineNumbers"/>
                      <w:rPr/>
                    </w:pPr>
                    <w:r>
                      <w:rPr/>
                      <w:t>19</w:t>
                    </w:r>
                  </w:p>
                  <w:p>
                    <w:pPr>
                      <w:pStyle w:val="zYLineNumbers"/>
                      <w:rPr/>
                    </w:pPr>
                    <w:r>
                      <w:rPr/>
                      <w:t>20</w:t>
                    </w:r>
                  </w:p>
                  <w:p>
                    <w:pPr>
                      <w:pStyle w:val="zYLineNumbers"/>
                      <w:rPr/>
                    </w:pPr>
                    <w:r>
                      <w:rPr/>
                      <w:t>21</w:t>
                    </w:r>
                  </w:p>
                  <w:p>
                    <w:pPr>
                      <w:pStyle w:val="zYLineNumbers"/>
                      <w:rPr/>
                    </w:pPr>
                    <w:r>
                      <w:rPr/>
                      <w:t>22</w:t>
                    </w:r>
                  </w:p>
                  <w:p>
                    <w:pPr>
                      <w:pStyle w:val="zYLineNumbers"/>
                      <w:rPr/>
                    </w:pPr>
                    <w:r>
                      <w:rPr/>
                      <w:t>23</w:t>
                    </w:r>
                  </w:p>
                  <w:p>
                    <w:pPr>
                      <w:pStyle w:val="zYLineNumbers"/>
                      <w:rPr/>
                    </w:pPr>
                    <w:r>
                      <w:rPr/>
                      <w:t>24</w:t>
                    </w:r>
                  </w:p>
                  <w:p>
                    <w:pPr>
                      <w:pStyle w:val="zYLineNumbers"/>
                      <w:rPr/>
                    </w:pPr>
                    <w:r>
                      <w:rPr/>
                      <w:t>25</w:t>
                    </w:r>
                  </w:p>
                  <w:p>
                    <w:pPr>
                      <w:pStyle w:val="zYLineNumbers"/>
                      <w:rPr/>
                    </w:pPr>
                    <w:r>
                      <w:rPr/>
                      <w:t>26</w:t>
                    </w:r>
                  </w:p>
                  <w:p>
                    <w:pPr>
                      <w:pStyle w:val="zYLineNumbers"/>
                      <w:rPr/>
                    </w:pPr>
                    <w:r>
                      <w:rPr/>
                      <w:t>27</w:t>
                    </w:r>
                  </w:p>
                  <w:p>
                    <w:pPr>
                      <w:pStyle w:val="zYLineNumbers"/>
                      <w:rPr/>
                    </w:pPr>
                    <w:r>
                      <w:rPr/>
                      <w:t>28</w:t>
                    </w:r>
                  </w:p>
                  <w:p>
                    <w:pPr>
                      <w:pStyle w:val="zYLineNumbers"/>
                      <w:rPr/>
                    </w:pPr>
                    <w:r>
                      <w:rPr/>
                      <w:t>29</w:t>
                    </w:r>
                  </w:p>
                  <w:p>
                    <w:pPr>
                      <w:pStyle w:val="zYLineNumbers"/>
                      <w:rPr/>
                    </w:pPr>
                    <w:r>
                      <w:rPr/>
                      <w:t>30</w:t>
                    </w:r>
                  </w:p>
                  <w:p>
                    <w:pPr>
                      <w:pStyle w:val="zYLineNumbers"/>
                      <w:rPr/>
                    </w:pPr>
                    <w:r>
                      <w:rPr/>
                      <w:t>31</w:t>
                    </w:r>
                  </w:p>
                  <w:p>
                    <w:pPr>
                      <w:pStyle w:val="zYLineNumbers"/>
                      <w:rPr/>
                    </w:pPr>
                    <w:r>
                      <w:rPr/>
                      <w:t>32</w:t>
                    </w:r>
                  </w:p>
                  <w:p>
                    <w:pPr>
                      <w:pStyle w:val="zYLineNumbers"/>
                      <w:rPr/>
                    </w:pPr>
                    <w:r>
                      <w:rPr/>
                      <w:t>33</w:t>
                    </w:r>
                  </w:p>
                  <w:p>
                    <w:pPr>
                      <w:pStyle w:val="zYLineNumbers"/>
                      <w:rPr/>
                    </w:pPr>
                    <w:r>
                      <w:rPr/>
                      <w:t>34</w:t>
                    </w:r>
                  </w:p>
                  <w:p>
                    <w:pPr>
                      <w:pStyle w:val="zYLineNumbers"/>
                      <w:rPr/>
                    </w:pPr>
                    <w:r>
                      <w:rPr/>
                      <w:t>35</w:t>
                    </w:r>
                  </w:p>
                  <w:p>
                    <w:pPr>
                      <w:pStyle w:val="zYLineNumbers"/>
                      <w:rPr/>
                    </w:pPr>
                    <w:r>
                      <w:rPr/>
                      <w:t>36</w:t>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1079500</wp:posOffset>
              </wp:positionH>
              <wp:positionV relativeFrom="page">
                <wp:align>top</wp:align>
              </wp:positionV>
              <wp:extent cx="27305" cy="10058400"/>
              <wp:effectExtent l="0" t="0" r="0" b="0"/>
              <wp:wrapSquare wrapText="bothSides"/>
              <wp:docPr id="5" name="Frame10"/>
              <a:graphic xmlns:a="http://schemas.openxmlformats.org/drawingml/2006/main">
                <a:graphicData uri="http://schemas.microsoft.com/office/word/2010/wordprocessingShape">
                  <wps:wsp>
                    <wps:cNvSpPr txBox="1"/>
                    <wps:spPr>
                      <a:xfrm>
                        <a:off x="0" y="0"/>
                        <a:ext cx="27305" cy="1005840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9504"/>
                          </w:tblGrid>
                          <w:tr>
                            <w:trPr>
                              <w:trHeight w:val="15840" w:hRule="atLeast"/>
                            </w:trPr>
                            <w:tc>
                              <w:tcPr>
                                <w:tcW w:w="9504" w:type="dxa"/>
                                <w:tcBorders>
                                  <w:start w:val="single" w:sz="6" w:space="0" w:color="000000"/>
                                  <w:end w:val="single" w:sz="6" w:space="0" w:color="000000"/>
                                </w:tcBorders>
                              </w:tcPr>
                              <w:p>
                                <w:pPr>
                                  <w:pStyle w:val="zYLeftPleadingLine"/>
                                  <w:rPr>
                                    <w:rFonts w:eastAsia="Courier;Courier New" w:cs="Courier;Courier New"/>
                                  </w:rPr>
                                </w:pPr>
                                <w:r>
                                  <w:rPr>
                                    <w:rFonts w:eastAsia="Courier;Courier New" w:cs="Courier;Courier New"/>
                                  </w:rPr>
                                  <w:t xml:space="preserve"> </w:t>
                                </w:r>
                              </w:p>
                            </w:tc>
                          </w:tr>
                        </w:tbl>
                      </w:txbxContent>
                    </wps:txbx>
                    <wps:bodyPr anchor="t" lIns="0" tIns="0" rIns="0" bIns="0">
                      <a:noAutofit/>
                    </wps:bodyPr>
                  </wps:wsp>
                </a:graphicData>
              </a:graphic>
            </wp:anchor>
          </w:drawing>
        </mc:Choice>
        <mc:Fallback>
          <w:pict>
            <v:rect fillcolor="#FFFFFF" style="position:absolute;rotation:-0;width:2.15pt;height:792pt;mso-wrap-distance-left:0pt;mso-wrap-distance-right:0pt;mso-wrap-distance-top:0pt;mso-wrap-distance-bottom:0pt;margin-top:0pt;mso-position-vertical:top;mso-position-vertical-relative:page;margin-left:8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9504"/>
                    </w:tblGrid>
                    <w:tr>
                      <w:trPr>
                        <w:trHeight w:val="15840" w:hRule="atLeast"/>
                      </w:trPr>
                      <w:tc>
                        <w:tcPr>
                          <w:tcW w:w="9504" w:type="dxa"/>
                          <w:tcBorders>
                            <w:start w:val="single" w:sz="6" w:space="0" w:color="000000"/>
                            <w:end w:val="single" w:sz="6" w:space="0" w:color="000000"/>
                          </w:tcBorders>
                        </w:tcPr>
                        <w:p>
                          <w:pPr>
                            <w:pStyle w:val="zYLeftPleadingLine"/>
                            <w:rPr>
                              <w:rFonts w:eastAsia="Courier;Courier New" w:cs="Courier;Courier New"/>
                            </w:rPr>
                          </w:pPr>
                          <w:r>
                            <w:rPr>
                              <w:rFonts w:eastAsia="Courier;Courier New" w:cs="Courier;Courier New"/>
                            </w:rPr>
                            <w:t xml:space="preserve"> </w:t>
                          </w:r>
                        </w:p>
                      </w:tc>
                    </w:tr>
                  </w:tbl>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7407275</wp:posOffset>
              </wp:positionH>
              <wp:positionV relativeFrom="page">
                <wp:align>top</wp:align>
              </wp:positionV>
              <wp:extent cx="91440" cy="20955"/>
              <wp:effectExtent l="0" t="0" r="0" b="0"/>
              <wp:wrapSquare wrapText="bothSides"/>
              <wp:docPr id="6" name="Frame11"/>
              <a:graphic xmlns:a="http://schemas.openxmlformats.org/drawingml/2006/main">
                <a:graphicData uri="http://schemas.microsoft.com/office/word/2010/wordprocessingShape">
                  <wps:wsp>
                    <wps:cNvSpPr txBox="1"/>
                    <wps:spPr>
                      <a:xfrm>
                        <a:off x="0" y="0"/>
                        <a:ext cx="91440" cy="2095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9504"/>
                          </w:tblGrid>
                          <w:tr>
                            <w:trPr>
                              <w:trHeight w:val="15840" w:hRule="atLeast"/>
                            </w:trPr>
                            <w:tc>
                              <w:tcPr>
                                <w:tcW w:w="9504" w:type="dxa"/>
                                <w:tcBorders>
                                  <w:start w:val="single" w:sz="6" w:space="0" w:color="000000"/>
                                </w:tcBorders>
                              </w:tcPr>
                              <w:p>
                                <w:pPr>
                                  <w:pStyle w:val="zYRightPleadingLine"/>
                                  <w:rPr>
                                    <w:rFonts w:eastAsia="Courier;Courier New" w:cs="Courier;Courier New"/>
                                  </w:rPr>
                                </w:pPr>
                                <w:r>
                                  <w:rPr>
                                    <w:rFonts w:eastAsia="Courier;Courier New" w:cs="Courier;Courier New"/>
                                  </w:rPr>
                                  <w:t xml:space="preserve"> </w:t>
                                </w:r>
                              </w:p>
                            </w:tc>
                          </w:tr>
                        </w:tbl>
                      </w:txbxContent>
                    </wps:txbx>
                    <wps:bodyPr anchor="t" lIns="0" tIns="0" rIns="0" bIns="0">
                      <a:noAutofit/>
                    </wps:bodyPr>
                  </wps:wsp>
                </a:graphicData>
              </a:graphic>
            </wp:anchor>
          </w:drawing>
        </mc:Choice>
        <mc:Fallback>
          <w:pict>
            <v:rect fillcolor="#FFFFFF" style="position:absolute;rotation:-0;width:7.2pt;height:1.65pt;mso-wrap-distance-left:0pt;mso-wrap-distance-right:0pt;mso-wrap-distance-top:0pt;mso-wrap-distance-bottom:0pt;margin-top:0pt;mso-position-vertical:top;mso-position-vertical-relative:page;margin-left:583.2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9504"/>
                    </w:tblGrid>
                    <w:tr>
                      <w:trPr>
                        <w:trHeight w:val="15840" w:hRule="atLeast"/>
                      </w:trPr>
                      <w:tc>
                        <w:tcPr>
                          <w:tcW w:w="9504" w:type="dxa"/>
                          <w:tcBorders>
                            <w:start w:val="single" w:sz="6" w:space="0" w:color="000000"/>
                          </w:tcBorders>
                        </w:tcPr>
                        <w:p>
                          <w:pPr>
                            <w:pStyle w:val="zYRightPleadingLine"/>
                            <w:rPr>
                              <w:rFonts w:eastAsia="Courier;Courier New" w:cs="Courier;Courier New"/>
                            </w:rPr>
                          </w:pPr>
                          <w:r>
                            <w:rPr>
                              <w:rFonts w:eastAsia="Courier;Courier New" w:cs="Courier;Courier New"/>
                            </w:rPr>
                            <w:t xml:space="preserve"> </w:t>
                          </w:r>
                        </w:p>
                      </w:tc>
                    </w:tr>
                  </w:tbl>
                </w:txbxContent>
              </v:textbox>
              <w10:wrap type="square"/>
            </v:rect>
          </w:pict>
        </mc:Fallback>
      </mc:AlternateContent>
    </w:r>
    <w:r>
      <mc:AlternateContent>
        <mc:Choice Requires="wps">
          <w:drawing>
            <wp:anchor behindDoc="0" distT="118745" distB="118745" distL="118745" distR="118745" simplePos="0" locked="0" layoutInCell="1" allowOverlap="1" relativeHeight="0">
              <wp:simplePos x="0" y="0"/>
              <wp:positionH relativeFrom="page">
                <wp:posOffset>635</wp:posOffset>
              </wp:positionH>
              <wp:positionV relativeFrom="page">
                <wp:posOffset>3749675</wp:posOffset>
              </wp:positionV>
              <wp:extent cx="914400" cy="3072130"/>
              <wp:effectExtent l="0" t="0" r="0" b="0"/>
              <wp:wrapSquare wrapText="bothSides"/>
              <wp:docPr id="7" name="Frame12"/>
              <a:graphic xmlns:a="http://schemas.openxmlformats.org/drawingml/2006/main">
                <a:graphicData uri="http://schemas.microsoft.com/office/word/2010/wordprocessingShape">
                  <wps:wsp>
                    <wps:cNvSpPr txBox="1"/>
                    <wps:spPr>
                      <a:xfrm>
                        <a:off x="0" y="0"/>
                        <a:ext cx="914400" cy="3072130"/>
                      </a:xfrm>
                      <a:prstGeom prst="rect"/>
                      <a:solidFill>
                        <a:srgbClr val="FFFFFF">
                          <a:alpha val="0"/>
                        </a:srgbClr>
                      </a:solidFill>
                    </wps:spPr>
                    <wps:txbx>
                      <w:txbxContent>
                        <w:p>
                          <w:pPr>
                            <w:pStyle w:val="zYPleadingLogo"/>
                            <w:rPr/>
                          </w:pPr>
                          <w:r>
                            <w:rPr/>
                          </w:r>
                        </w:p>
                      </w:txbxContent>
                    </wps:txbx>
                    <wps:bodyPr anchor="t" lIns="0" tIns="0" rIns="0" bIns="0">
                      <a:noAutofit/>
                    </wps:bodyPr>
                  </wps:wsp>
                </a:graphicData>
              </a:graphic>
            </wp:anchor>
          </w:drawing>
        </mc:Choice>
        <mc:Fallback>
          <w:pict>
            <v:rect fillcolor="#FFFFFF" style="position:absolute;rotation:-0;width:72pt;height:241.9pt;mso-wrap-distance-left:9.35pt;mso-wrap-distance-right:9.35pt;mso-wrap-distance-top:9.35pt;mso-wrap-distance-bottom:9.35pt;margin-top:295.25pt;mso-position-vertical-relative:page;margin-left:0.05pt;mso-position-horizontal-relative:page">
              <v:fill opacity="0f"/>
              <v:textbox inset="0in,0in,0in,0in">
                <w:txbxContent>
                  <w:p>
                    <w:pPr>
                      <w:pStyle w:val="zYPleadingLogo"/>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035040" cy="304800"/>
              <wp:effectExtent l="0" t="0" r="0" b="0"/>
              <wp:wrapNone/>
              <wp:docPr id="8" name="Frame2"/>
              <a:graphic xmlns:a="http://schemas.openxmlformats.org/drawingml/2006/main">
                <a:graphicData uri="http://schemas.microsoft.com/office/word/2010/wordprocessingShape">
                  <wps:wsp>
                    <wps:cNvSpPr txBox="1"/>
                    <wps:spPr>
                      <a:xfrm>
                        <a:off x="0" y="0"/>
                        <a:ext cx="6035040" cy="304800"/>
                      </a:xfrm>
                      <a:prstGeom prst="rect"/>
                      <a:solidFill>
                        <a:srgbClr val="FFFFFF"/>
                      </a:solidFill>
                    </wps:spPr>
                    <wps:txbx>
                      <w:txbxContent>
                        <w:p>
                          <w:pPr>
                            <w:pStyle w:val="Header"/>
                            <w:rPr/>
                          </w:pPr>
                          <w:r>
                            <w:rPr/>
                          </w:r>
                        </w:p>
                        <w:p>
                          <w:pPr>
                            <w:pStyle w:val="Header"/>
                            <w:rPr/>
                          </w:pPr>
                          <w:r>
                            <w:rPr/>
                          </w:r>
                        </w:p>
                      </w:txbxContent>
                    </wps:txbx>
                    <wps:bodyPr anchor="t" lIns="0" tIns="0" rIns="0" bIns="0">
                      <a:noAutofit/>
                    </wps:bodyPr>
                  </wps:wsp>
                </a:graphicData>
              </a:graphic>
            </wp:anchor>
          </w:drawing>
        </mc:Choice>
        <mc:Fallback>
          <w:pict>
            <v:rect style="position:absolute;rotation:-0;width:475.2pt;height:2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p>
                    <w:pPr>
                      <w:pStyle w:val="Header"/>
                      <w:rPr/>
                    </w:pPr>
                    <w:r>
                      <w:rPr/>
                    </w:r>
                  </w:p>
                </w:txbxContent>
              </v:textbox>
              <w10:wrap type="none"/>
            </v:rect>
          </w:pict>
        </mc:Fallback>
      </mc:AlternateContent>
    </w:r>
    <w:r>
      <mc:AlternateContent>
        <mc:Choice Requires="wps">
          <w:drawing>
            <wp:anchor behindDoc="0" distT="0" distB="0" distL="0" distR="0" simplePos="0" locked="0" layoutInCell="0" allowOverlap="1" relativeHeight="4">
              <wp:simplePos x="0" y="0"/>
              <wp:positionH relativeFrom="page">
                <wp:posOffset>869315</wp:posOffset>
              </wp:positionH>
              <wp:positionV relativeFrom="page">
                <wp:posOffset>640715</wp:posOffset>
              </wp:positionV>
              <wp:extent cx="182880" cy="8568055"/>
              <wp:effectExtent l="0" t="0" r="0" b="0"/>
              <wp:wrapSquare wrapText="bothSides"/>
              <wp:docPr id="9" name="Frame3"/>
              <a:graphic xmlns:a="http://schemas.openxmlformats.org/drawingml/2006/main">
                <a:graphicData uri="http://schemas.microsoft.com/office/word/2010/wordprocessingShape">
                  <wps:wsp>
                    <wps:cNvSpPr txBox="1"/>
                    <wps:spPr>
                      <a:xfrm>
                        <a:off x="0" y="0"/>
                        <a:ext cx="182880" cy="8568055"/>
                      </a:xfrm>
                      <a:prstGeom prst="rect"/>
                      <a:solidFill>
                        <a:srgbClr val="FFFFFF">
                          <a:alpha val="0"/>
                        </a:srgbClr>
                      </a:solidFill>
                    </wps:spPr>
                    <wps:txbx>
                      <w:txbxContent>
                        <w:p>
                          <w:pPr>
                            <w:pStyle w:val="zYLineNumbers"/>
                            <w:rPr/>
                          </w:pPr>
                          <w:r>
                            <w:rPr/>
                            <w:t>1</w:t>
                          </w:r>
                        </w:p>
                        <w:p>
                          <w:pPr>
                            <w:pStyle w:val="zYLineNumbers"/>
                            <w:rPr/>
                          </w:pPr>
                          <w:r>
                            <w:rPr/>
                            <w:t>2</w:t>
                          </w:r>
                        </w:p>
                        <w:p>
                          <w:pPr>
                            <w:pStyle w:val="zYLineNumbers"/>
                            <w:rPr/>
                          </w:pPr>
                          <w:r>
                            <w:rPr/>
                            <w:t>3</w:t>
                          </w:r>
                        </w:p>
                        <w:p>
                          <w:pPr>
                            <w:pStyle w:val="zYLineNumbers"/>
                            <w:rPr/>
                          </w:pPr>
                          <w:r>
                            <w:rPr/>
                            <w:t>4</w:t>
                          </w:r>
                        </w:p>
                        <w:p>
                          <w:pPr>
                            <w:pStyle w:val="zYLineNumbers"/>
                            <w:rPr/>
                          </w:pPr>
                          <w:r>
                            <w:rPr/>
                            <w:t>5</w:t>
                          </w:r>
                        </w:p>
                        <w:p>
                          <w:pPr>
                            <w:pStyle w:val="zYLineNumbers"/>
                            <w:rPr/>
                          </w:pPr>
                          <w:r>
                            <w:rPr/>
                            <w:t>6</w:t>
                          </w:r>
                        </w:p>
                        <w:p>
                          <w:pPr>
                            <w:pStyle w:val="zYLineNumbers"/>
                            <w:rPr/>
                          </w:pPr>
                          <w:r>
                            <w:rPr/>
                            <w:t>7</w:t>
                          </w:r>
                        </w:p>
                        <w:p>
                          <w:pPr>
                            <w:pStyle w:val="zYLineNumbers"/>
                            <w:rPr/>
                          </w:pPr>
                          <w:r>
                            <w:rPr/>
                            <w:t>8</w:t>
                          </w:r>
                        </w:p>
                        <w:p>
                          <w:pPr>
                            <w:pStyle w:val="zYLineNumbers"/>
                            <w:rPr/>
                          </w:pPr>
                          <w:r>
                            <w:rPr/>
                            <w:t>9</w:t>
                          </w:r>
                        </w:p>
                        <w:p>
                          <w:pPr>
                            <w:pStyle w:val="zYLineNumbers"/>
                            <w:rPr/>
                          </w:pPr>
                          <w:r>
                            <w:rPr/>
                            <w:t>10</w:t>
                          </w:r>
                        </w:p>
                        <w:p>
                          <w:pPr>
                            <w:pStyle w:val="zYLineNumbers"/>
                            <w:rPr/>
                          </w:pPr>
                          <w:r>
                            <w:rPr/>
                            <w:t>11</w:t>
                          </w:r>
                        </w:p>
                        <w:p>
                          <w:pPr>
                            <w:pStyle w:val="zYLineNumbers"/>
                            <w:rPr/>
                          </w:pPr>
                          <w:r>
                            <w:rPr/>
                            <w:t>12</w:t>
                          </w:r>
                        </w:p>
                        <w:p>
                          <w:pPr>
                            <w:pStyle w:val="zYLineNumbers"/>
                            <w:rPr/>
                          </w:pPr>
                          <w:r>
                            <w:rPr/>
                            <w:t>13</w:t>
                          </w:r>
                        </w:p>
                        <w:p>
                          <w:pPr>
                            <w:pStyle w:val="zYLineNumbers"/>
                            <w:rPr/>
                          </w:pPr>
                          <w:r>
                            <w:rPr/>
                            <w:t>14</w:t>
                          </w:r>
                        </w:p>
                        <w:p>
                          <w:pPr>
                            <w:pStyle w:val="zYLineNumbers"/>
                            <w:rPr/>
                          </w:pPr>
                          <w:r>
                            <w:rPr/>
                            <w:t>15</w:t>
                          </w:r>
                        </w:p>
                        <w:p>
                          <w:pPr>
                            <w:pStyle w:val="zYLineNumbers"/>
                            <w:rPr/>
                          </w:pPr>
                          <w:r>
                            <w:rPr/>
                            <w:t>16</w:t>
                          </w:r>
                        </w:p>
                        <w:p>
                          <w:pPr>
                            <w:pStyle w:val="zYLineNumbers"/>
                            <w:rPr/>
                          </w:pPr>
                          <w:r>
                            <w:rPr/>
                            <w:t>17</w:t>
                          </w:r>
                        </w:p>
                        <w:p>
                          <w:pPr>
                            <w:pStyle w:val="zYLineNumbers"/>
                            <w:rPr/>
                          </w:pPr>
                          <w:r>
                            <w:rPr/>
                            <w:t>18</w:t>
                          </w:r>
                        </w:p>
                        <w:p>
                          <w:pPr>
                            <w:pStyle w:val="zYLineNumbers"/>
                            <w:rPr/>
                          </w:pPr>
                          <w:r>
                            <w:rPr/>
                            <w:t>19</w:t>
                          </w:r>
                        </w:p>
                        <w:p>
                          <w:pPr>
                            <w:pStyle w:val="zYLineNumbers"/>
                            <w:rPr/>
                          </w:pPr>
                          <w:r>
                            <w:rPr/>
                            <w:t>20</w:t>
                          </w:r>
                        </w:p>
                        <w:p>
                          <w:pPr>
                            <w:pStyle w:val="zYLineNumbers"/>
                            <w:rPr/>
                          </w:pPr>
                          <w:r>
                            <w:rPr/>
                            <w:t>21</w:t>
                          </w:r>
                        </w:p>
                        <w:p>
                          <w:pPr>
                            <w:pStyle w:val="zYLineNumbers"/>
                            <w:rPr/>
                          </w:pPr>
                          <w:r>
                            <w:rPr/>
                            <w:t>22</w:t>
                          </w:r>
                        </w:p>
                        <w:p>
                          <w:pPr>
                            <w:pStyle w:val="zYLineNumbers"/>
                            <w:rPr/>
                          </w:pPr>
                          <w:r>
                            <w:rPr/>
                            <w:t>23</w:t>
                          </w:r>
                        </w:p>
                        <w:p>
                          <w:pPr>
                            <w:pStyle w:val="zYLineNumbers"/>
                            <w:rPr/>
                          </w:pPr>
                          <w:r>
                            <w:rPr/>
                            <w:t>24</w:t>
                          </w:r>
                        </w:p>
                        <w:p>
                          <w:pPr>
                            <w:pStyle w:val="zYLineNumbers"/>
                            <w:rPr/>
                          </w:pPr>
                          <w:r>
                            <w:rPr/>
                            <w:t>25</w:t>
                          </w:r>
                        </w:p>
                        <w:p>
                          <w:pPr>
                            <w:pStyle w:val="zYLineNumbers"/>
                            <w:rPr/>
                          </w:pPr>
                          <w:r>
                            <w:rPr/>
                            <w:t>26</w:t>
                          </w:r>
                        </w:p>
                        <w:p>
                          <w:pPr>
                            <w:pStyle w:val="zYLineNumbers"/>
                            <w:rPr/>
                          </w:pPr>
                          <w:r>
                            <w:rPr/>
                            <w:t>27</w:t>
                          </w:r>
                        </w:p>
                        <w:p>
                          <w:pPr>
                            <w:pStyle w:val="zYLineNumbers"/>
                            <w:rPr/>
                          </w:pPr>
                          <w:r>
                            <w:rPr/>
                            <w:t>28</w:t>
                          </w:r>
                        </w:p>
                        <w:p>
                          <w:pPr>
                            <w:pStyle w:val="zYLineNumbers"/>
                            <w:rPr/>
                          </w:pPr>
                          <w:r>
                            <w:rPr/>
                            <w:t>29</w:t>
                          </w:r>
                        </w:p>
                        <w:p>
                          <w:pPr>
                            <w:pStyle w:val="zYLineNumbers"/>
                            <w:rPr/>
                          </w:pPr>
                          <w:r>
                            <w:rPr/>
                            <w:t>30</w:t>
                          </w:r>
                        </w:p>
                        <w:p>
                          <w:pPr>
                            <w:pStyle w:val="zYLineNumbers"/>
                            <w:rPr/>
                          </w:pPr>
                          <w:r>
                            <w:rPr/>
                            <w:t>31</w:t>
                          </w:r>
                        </w:p>
                        <w:p>
                          <w:pPr>
                            <w:pStyle w:val="zYLineNumbers"/>
                            <w:rPr/>
                          </w:pPr>
                          <w:r>
                            <w:rPr/>
                            <w:t>32</w:t>
                          </w:r>
                        </w:p>
                        <w:p>
                          <w:pPr>
                            <w:pStyle w:val="zYLineNumbers"/>
                            <w:rPr/>
                          </w:pPr>
                          <w:r>
                            <w:rPr/>
                            <w:t>33</w:t>
                          </w:r>
                        </w:p>
                        <w:p>
                          <w:pPr>
                            <w:pStyle w:val="zYLineNumbers"/>
                            <w:rPr/>
                          </w:pPr>
                          <w:r>
                            <w:rPr/>
                            <w:t>34</w:t>
                          </w:r>
                        </w:p>
                        <w:p>
                          <w:pPr>
                            <w:pStyle w:val="zYLineNumbers"/>
                            <w:rPr/>
                          </w:pPr>
                          <w:r>
                            <w:rPr/>
                            <w:t>35</w:t>
                          </w:r>
                        </w:p>
                        <w:p>
                          <w:pPr>
                            <w:pStyle w:val="zYLineNumbers"/>
                            <w:rPr/>
                          </w:pPr>
                          <w:r>
                            <w:rPr/>
                            <w:t>36</w:t>
                          </w:r>
                        </w:p>
                      </w:txbxContent>
                    </wps:txbx>
                    <wps:bodyPr anchor="t" lIns="0" tIns="0" rIns="0" bIns="0">
                      <a:noAutofit/>
                    </wps:bodyPr>
                  </wps:wsp>
                </a:graphicData>
              </a:graphic>
            </wp:anchor>
          </w:drawing>
        </mc:Choice>
        <mc:Fallback>
          <w:pict>
            <v:rect fillcolor="#FFFFFF" style="position:absolute;rotation:-0;width:14.4pt;height:674.65pt;mso-wrap-distance-left:0pt;mso-wrap-distance-right:0pt;mso-wrap-distance-top:0pt;mso-wrap-distance-bottom:0pt;margin-top:50.45pt;mso-position-vertical-relative:page;margin-left:68.45pt;mso-position-horizontal-relative:page">
              <v:fill opacity="0f"/>
              <v:textbox inset="0in,0in,0in,0in">
                <w:txbxContent>
                  <w:p>
                    <w:pPr>
                      <w:pStyle w:val="zYLineNumbers"/>
                      <w:rPr/>
                    </w:pPr>
                    <w:r>
                      <w:rPr/>
                      <w:t>1</w:t>
                    </w:r>
                  </w:p>
                  <w:p>
                    <w:pPr>
                      <w:pStyle w:val="zYLineNumbers"/>
                      <w:rPr/>
                    </w:pPr>
                    <w:r>
                      <w:rPr/>
                      <w:t>2</w:t>
                    </w:r>
                  </w:p>
                  <w:p>
                    <w:pPr>
                      <w:pStyle w:val="zYLineNumbers"/>
                      <w:rPr/>
                    </w:pPr>
                    <w:r>
                      <w:rPr/>
                      <w:t>3</w:t>
                    </w:r>
                  </w:p>
                  <w:p>
                    <w:pPr>
                      <w:pStyle w:val="zYLineNumbers"/>
                      <w:rPr/>
                    </w:pPr>
                    <w:r>
                      <w:rPr/>
                      <w:t>4</w:t>
                    </w:r>
                  </w:p>
                  <w:p>
                    <w:pPr>
                      <w:pStyle w:val="zYLineNumbers"/>
                      <w:rPr/>
                    </w:pPr>
                    <w:r>
                      <w:rPr/>
                      <w:t>5</w:t>
                    </w:r>
                  </w:p>
                  <w:p>
                    <w:pPr>
                      <w:pStyle w:val="zYLineNumbers"/>
                      <w:rPr/>
                    </w:pPr>
                    <w:r>
                      <w:rPr/>
                      <w:t>6</w:t>
                    </w:r>
                  </w:p>
                  <w:p>
                    <w:pPr>
                      <w:pStyle w:val="zYLineNumbers"/>
                      <w:rPr/>
                    </w:pPr>
                    <w:r>
                      <w:rPr/>
                      <w:t>7</w:t>
                    </w:r>
                  </w:p>
                  <w:p>
                    <w:pPr>
                      <w:pStyle w:val="zYLineNumbers"/>
                      <w:rPr/>
                    </w:pPr>
                    <w:r>
                      <w:rPr/>
                      <w:t>8</w:t>
                    </w:r>
                  </w:p>
                  <w:p>
                    <w:pPr>
                      <w:pStyle w:val="zYLineNumbers"/>
                      <w:rPr/>
                    </w:pPr>
                    <w:r>
                      <w:rPr/>
                      <w:t>9</w:t>
                    </w:r>
                  </w:p>
                  <w:p>
                    <w:pPr>
                      <w:pStyle w:val="zYLineNumbers"/>
                      <w:rPr/>
                    </w:pPr>
                    <w:r>
                      <w:rPr/>
                      <w:t>10</w:t>
                    </w:r>
                  </w:p>
                  <w:p>
                    <w:pPr>
                      <w:pStyle w:val="zYLineNumbers"/>
                      <w:rPr/>
                    </w:pPr>
                    <w:r>
                      <w:rPr/>
                      <w:t>11</w:t>
                    </w:r>
                  </w:p>
                  <w:p>
                    <w:pPr>
                      <w:pStyle w:val="zYLineNumbers"/>
                      <w:rPr/>
                    </w:pPr>
                    <w:r>
                      <w:rPr/>
                      <w:t>12</w:t>
                    </w:r>
                  </w:p>
                  <w:p>
                    <w:pPr>
                      <w:pStyle w:val="zYLineNumbers"/>
                      <w:rPr/>
                    </w:pPr>
                    <w:r>
                      <w:rPr/>
                      <w:t>13</w:t>
                    </w:r>
                  </w:p>
                  <w:p>
                    <w:pPr>
                      <w:pStyle w:val="zYLineNumbers"/>
                      <w:rPr/>
                    </w:pPr>
                    <w:r>
                      <w:rPr/>
                      <w:t>14</w:t>
                    </w:r>
                  </w:p>
                  <w:p>
                    <w:pPr>
                      <w:pStyle w:val="zYLineNumbers"/>
                      <w:rPr/>
                    </w:pPr>
                    <w:r>
                      <w:rPr/>
                      <w:t>15</w:t>
                    </w:r>
                  </w:p>
                  <w:p>
                    <w:pPr>
                      <w:pStyle w:val="zYLineNumbers"/>
                      <w:rPr/>
                    </w:pPr>
                    <w:r>
                      <w:rPr/>
                      <w:t>16</w:t>
                    </w:r>
                  </w:p>
                  <w:p>
                    <w:pPr>
                      <w:pStyle w:val="zYLineNumbers"/>
                      <w:rPr/>
                    </w:pPr>
                    <w:r>
                      <w:rPr/>
                      <w:t>17</w:t>
                    </w:r>
                  </w:p>
                  <w:p>
                    <w:pPr>
                      <w:pStyle w:val="zYLineNumbers"/>
                      <w:rPr/>
                    </w:pPr>
                    <w:r>
                      <w:rPr/>
                      <w:t>18</w:t>
                    </w:r>
                  </w:p>
                  <w:p>
                    <w:pPr>
                      <w:pStyle w:val="zYLineNumbers"/>
                      <w:rPr/>
                    </w:pPr>
                    <w:r>
                      <w:rPr/>
                      <w:t>19</w:t>
                    </w:r>
                  </w:p>
                  <w:p>
                    <w:pPr>
                      <w:pStyle w:val="zYLineNumbers"/>
                      <w:rPr/>
                    </w:pPr>
                    <w:r>
                      <w:rPr/>
                      <w:t>20</w:t>
                    </w:r>
                  </w:p>
                  <w:p>
                    <w:pPr>
                      <w:pStyle w:val="zYLineNumbers"/>
                      <w:rPr/>
                    </w:pPr>
                    <w:r>
                      <w:rPr/>
                      <w:t>21</w:t>
                    </w:r>
                  </w:p>
                  <w:p>
                    <w:pPr>
                      <w:pStyle w:val="zYLineNumbers"/>
                      <w:rPr/>
                    </w:pPr>
                    <w:r>
                      <w:rPr/>
                      <w:t>22</w:t>
                    </w:r>
                  </w:p>
                  <w:p>
                    <w:pPr>
                      <w:pStyle w:val="zYLineNumbers"/>
                      <w:rPr/>
                    </w:pPr>
                    <w:r>
                      <w:rPr/>
                      <w:t>23</w:t>
                    </w:r>
                  </w:p>
                  <w:p>
                    <w:pPr>
                      <w:pStyle w:val="zYLineNumbers"/>
                      <w:rPr/>
                    </w:pPr>
                    <w:r>
                      <w:rPr/>
                      <w:t>24</w:t>
                    </w:r>
                  </w:p>
                  <w:p>
                    <w:pPr>
                      <w:pStyle w:val="zYLineNumbers"/>
                      <w:rPr/>
                    </w:pPr>
                    <w:r>
                      <w:rPr/>
                      <w:t>25</w:t>
                    </w:r>
                  </w:p>
                  <w:p>
                    <w:pPr>
                      <w:pStyle w:val="zYLineNumbers"/>
                      <w:rPr/>
                    </w:pPr>
                    <w:r>
                      <w:rPr/>
                      <w:t>26</w:t>
                    </w:r>
                  </w:p>
                  <w:p>
                    <w:pPr>
                      <w:pStyle w:val="zYLineNumbers"/>
                      <w:rPr/>
                    </w:pPr>
                    <w:r>
                      <w:rPr/>
                      <w:t>27</w:t>
                    </w:r>
                  </w:p>
                  <w:p>
                    <w:pPr>
                      <w:pStyle w:val="zYLineNumbers"/>
                      <w:rPr/>
                    </w:pPr>
                    <w:r>
                      <w:rPr/>
                      <w:t>28</w:t>
                    </w:r>
                  </w:p>
                  <w:p>
                    <w:pPr>
                      <w:pStyle w:val="zYLineNumbers"/>
                      <w:rPr/>
                    </w:pPr>
                    <w:r>
                      <w:rPr/>
                      <w:t>29</w:t>
                    </w:r>
                  </w:p>
                  <w:p>
                    <w:pPr>
                      <w:pStyle w:val="zYLineNumbers"/>
                      <w:rPr/>
                    </w:pPr>
                    <w:r>
                      <w:rPr/>
                      <w:t>30</w:t>
                    </w:r>
                  </w:p>
                  <w:p>
                    <w:pPr>
                      <w:pStyle w:val="zYLineNumbers"/>
                      <w:rPr/>
                    </w:pPr>
                    <w:r>
                      <w:rPr/>
                      <w:t>31</w:t>
                    </w:r>
                  </w:p>
                  <w:p>
                    <w:pPr>
                      <w:pStyle w:val="zYLineNumbers"/>
                      <w:rPr/>
                    </w:pPr>
                    <w:r>
                      <w:rPr/>
                      <w:t>32</w:t>
                    </w:r>
                  </w:p>
                  <w:p>
                    <w:pPr>
                      <w:pStyle w:val="zYLineNumbers"/>
                      <w:rPr/>
                    </w:pPr>
                    <w:r>
                      <w:rPr/>
                      <w:t>33</w:t>
                    </w:r>
                  </w:p>
                  <w:p>
                    <w:pPr>
                      <w:pStyle w:val="zYLineNumbers"/>
                      <w:rPr/>
                    </w:pPr>
                    <w:r>
                      <w:rPr/>
                      <w:t>34</w:t>
                    </w:r>
                  </w:p>
                  <w:p>
                    <w:pPr>
                      <w:pStyle w:val="zYLineNumbers"/>
                      <w:rPr/>
                    </w:pPr>
                    <w:r>
                      <w:rPr/>
                      <w:t>35</w:t>
                    </w:r>
                  </w:p>
                  <w:p>
                    <w:pPr>
                      <w:pStyle w:val="zYLineNumbers"/>
                      <w:rPr/>
                    </w:pPr>
                    <w:r>
                      <w:rPr/>
                      <w:t>36</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1079500</wp:posOffset>
              </wp:positionH>
              <wp:positionV relativeFrom="page">
                <wp:align>top</wp:align>
              </wp:positionV>
              <wp:extent cx="27305" cy="10058400"/>
              <wp:effectExtent l="0" t="0" r="0" b="0"/>
              <wp:wrapSquare wrapText="bothSides"/>
              <wp:docPr id="10" name="Frame4"/>
              <a:graphic xmlns:a="http://schemas.openxmlformats.org/drawingml/2006/main">
                <a:graphicData uri="http://schemas.microsoft.com/office/word/2010/wordprocessingShape">
                  <wps:wsp>
                    <wps:cNvSpPr txBox="1"/>
                    <wps:spPr>
                      <a:xfrm>
                        <a:off x="0" y="0"/>
                        <a:ext cx="27305" cy="1005840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43"/>
                          </w:tblGrid>
                          <w:tr>
                            <w:trPr>
                              <w:trHeight w:val="15840" w:hRule="atLeast"/>
                            </w:trPr>
                            <w:tc>
                              <w:tcPr>
                                <w:tcW w:w="43" w:type="dxa"/>
                                <w:tcBorders>
                                  <w:start w:val="single" w:sz="6" w:space="0" w:color="000000"/>
                                  <w:end w:val="single" w:sz="6" w:space="0" w:color="000000"/>
                                </w:tcBorders>
                              </w:tcPr>
                              <w:p>
                                <w:pPr>
                                  <w:pStyle w:val="zYLeftPleadingLine"/>
                                  <w:rPr>
                                    <w:rFonts w:eastAsia="Courier;Courier New" w:cs="Courier;Courier New"/>
                                  </w:rPr>
                                </w:pPr>
                                <w:r>
                                  <w:rPr>
                                    <w:rFonts w:eastAsia="Courier;Courier New" w:cs="Courier;Courier New"/>
                                  </w:rPr>
                                  <w:t xml:space="preserve"> </w:t>
                                </w:r>
                              </w:p>
                            </w:tc>
                          </w:tr>
                        </w:tbl>
                      </w:txbxContent>
                    </wps:txbx>
                    <wps:bodyPr anchor="t" lIns="0" tIns="0" rIns="0" bIns="0">
                      <a:noAutofit/>
                    </wps:bodyPr>
                  </wps:wsp>
                </a:graphicData>
              </a:graphic>
            </wp:anchor>
          </w:drawing>
        </mc:Choice>
        <mc:Fallback>
          <w:pict>
            <v:rect fillcolor="#FFFFFF" style="position:absolute;rotation:-0;width:2.15pt;height:792pt;mso-wrap-distance-left:0pt;mso-wrap-distance-right:0pt;mso-wrap-distance-top:0pt;mso-wrap-distance-bottom:0pt;margin-top:0pt;mso-position-vertical:top;mso-position-vertical-relative:page;margin-left:8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43"/>
                    </w:tblGrid>
                    <w:tr>
                      <w:trPr>
                        <w:trHeight w:val="15840" w:hRule="atLeast"/>
                      </w:trPr>
                      <w:tc>
                        <w:tcPr>
                          <w:tcW w:w="43" w:type="dxa"/>
                          <w:tcBorders>
                            <w:start w:val="single" w:sz="6" w:space="0" w:color="000000"/>
                            <w:end w:val="single" w:sz="6" w:space="0" w:color="000000"/>
                          </w:tcBorders>
                        </w:tcPr>
                        <w:p>
                          <w:pPr>
                            <w:pStyle w:val="zYLeftPleadingLine"/>
                            <w:rPr>
                              <w:rFonts w:eastAsia="Courier;Courier New" w:cs="Courier;Courier New"/>
                            </w:rPr>
                          </w:pPr>
                          <w:r>
                            <w:rPr>
                              <w:rFonts w:eastAsia="Courier;Courier New" w:cs="Courier;Courier New"/>
                            </w:rPr>
                            <w:t xml:space="preserve"> </w:t>
                          </w:r>
                        </w:p>
                      </w:tc>
                    </w:tr>
                  </w:tbl>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7407275</wp:posOffset>
              </wp:positionH>
              <wp:positionV relativeFrom="page">
                <wp:align>top</wp:align>
              </wp:positionV>
              <wp:extent cx="91440" cy="10058400"/>
              <wp:effectExtent l="0" t="0" r="0" b="0"/>
              <wp:wrapSquare wrapText="bothSides"/>
              <wp:docPr id="11" name="Frame5"/>
              <a:graphic xmlns:a="http://schemas.openxmlformats.org/drawingml/2006/main">
                <a:graphicData uri="http://schemas.microsoft.com/office/word/2010/wordprocessingShape">
                  <wps:wsp>
                    <wps:cNvSpPr txBox="1"/>
                    <wps:spPr>
                      <a:xfrm>
                        <a:off x="0" y="0"/>
                        <a:ext cx="91440" cy="1005840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144"/>
                          </w:tblGrid>
                          <w:tr>
                            <w:trPr>
                              <w:trHeight w:val="15840" w:hRule="atLeast"/>
                            </w:trPr>
                            <w:tc>
                              <w:tcPr>
                                <w:tcW w:w="144" w:type="dxa"/>
                                <w:tcBorders>
                                  <w:start w:val="single" w:sz="6" w:space="0" w:color="000000"/>
                                </w:tcBorders>
                              </w:tcPr>
                              <w:p>
                                <w:pPr>
                                  <w:pStyle w:val="zYRightPleadingLine"/>
                                  <w:rPr>
                                    <w:rFonts w:eastAsia="Courier;Courier New" w:cs="Courier;Courier New"/>
                                  </w:rPr>
                                </w:pPr>
                                <w:r>
                                  <w:rPr>
                                    <w:rFonts w:eastAsia="Courier;Courier New" w:cs="Courier;Courier New"/>
                                  </w:rPr>
                                  <w:t xml:space="preserve"> </w:t>
                                </w:r>
                              </w:p>
                            </w:tc>
                          </w:tr>
                        </w:tbl>
                      </w:txbxContent>
                    </wps:txbx>
                    <wps:bodyPr anchor="t" lIns="0" tIns="0" rIns="0" bIns="0">
                      <a:noAutofit/>
                    </wps:bodyPr>
                  </wps:wsp>
                </a:graphicData>
              </a:graphic>
            </wp:anchor>
          </w:drawing>
        </mc:Choice>
        <mc:Fallback>
          <w:pict>
            <v:rect fillcolor="#FFFFFF" style="position:absolute;rotation:-0;width:7.2pt;height:792pt;mso-wrap-distance-left:0pt;mso-wrap-distance-right:0pt;mso-wrap-distance-top:0pt;mso-wrap-distance-bottom:0pt;margin-top:0pt;mso-position-vertical:top;mso-position-vertical-relative:page;margin-left:583.2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144"/>
                    </w:tblGrid>
                    <w:tr>
                      <w:trPr>
                        <w:trHeight w:val="15840" w:hRule="atLeast"/>
                      </w:trPr>
                      <w:tc>
                        <w:tcPr>
                          <w:tcW w:w="144" w:type="dxa"/>
                          <w:tcBorders>
                            <w:start w:val="single" w:sz="6" w:space="0" w:color="000000"/>
                          </w:tcBorders>
                        </w:tcPr>
                        <w:p>
                          <w:pPr>
                            <w:pStyle w:val="zYRightPleadingLine"/>
                            <w:rPr>
                              <w:rFonts w:eastAsia="Courier;Courier New" w:cs="Courier;Courier New"/>
                            </w:rPr>
                          </w:pPr>
                          <w:r>
                            <w:rPr>
                              <w:rFonts w:eastAsia="Courier;Courier New" w:cs="Courier;Courier New"/>
                            </w:rPr>
                            <w:t xml:space="preserve"> </w:t>
                          </w:r>
                        </w:p>
                      </w:tc>
                    </w:tr>
                  </w:tbl>
                </w:txbxContent>
              </v:textbox>
              <w10:wrap type="square"/>
            </v:rect>
          </w:pict>
        </mc:Fallback>
      </mc:AlternateContent>
    </w:r>
    <w:r>
      <mc:AlternateContent>
        <mc:Choice Requires="wps">
          <w:drawing>
            <wp:anchor behindDoc="0" distT="118745" distB="118745" distL="118745" distR="118745" simplePos="0" locked="0" layoutInCell="0" allowOverlap="1" relativeHeight="7">
              <wp:simplePos x="0" y="0"/>
              <wp:positionH relativeFrom="page">
                <wp:posOffset>635</wp:posOffset>
              </wp:positionH>
              <wp:positionV relativeFrom="page">
                <wp:posOffset>3749675</wp:posOffset>
              </wp:positionV>
              <wp:extent cx="914400" cy="3072130"/>
              <wp:effectExtent l="0" t="0" r="0" b="0"/>
              <wp:wrapSquare wrapText="bothSides"/>
              <wp:docPr id="12" name="Frame6"/>
              <a:graphic xmlns:a="http://schemas.openxmlformats.org/drawingml/2006/main">
                <a:graphicData uri="http://schemas.microsoft.com/office/word/2010/wordprocessingShape">
                  <wps:wsp>
                    <wps:cNvSpPr txBox="1"/>
                    <wps:spPr>
                      <a:xfrm>
                        <a:off x="0" y="0"/>
                        <a:ext cx="914400" cy="3072130"/>
                      </a:xfrm>
                      <a:prstGeom prst="rect"/>
                      <a:solidFill>
                        <a:srgbClr val="FFFFFF">
                          <a:alpha val="0"/>
                        </a:srgbClr>
                      </a:solidFill>
                    </wps:spPr>
                    <wps:txbx>
                      <w:txbxContent>
                        <w:p>
                          <w:pPr>
                            <w:pStyle w:val="zYPleadingLogo"/>
                            <w:rPr/>
                          </w:pPr>
                          <w:r>
                            <w:rPr/>
                          </w:r>
                        </w:p>
                      </w:txbxContent>
                    </wps:txbx>
                    <wps:bodyPr anchor="t" lIns="0" tIns="0" rIns="0" bIns="0">
                      <a:noAutofit/>
                    </wps:bodyPr>
                  </wps:wsp>
                </a:graphicData>
              </a:graphic>
            </wp:anchor>
          </w:drawing>
        </mc:Choice>
        <mc:Fallback>
          <w:pict>
            <v:rect fillcolor="#FFFFFF" style="position:absolute;rotation:-0;width:72pt;height:241.9pt;mso-wrap-distance-left:9.35pt;mso-wrap-distance-right:9.35pt;mso-wrap-distance-top:9.35pt;mso-wrap-distance-bottom:9.35pt;margin-top:295.25pt;mso-position-vertical-relative:page;margin-left:0.05pt;mso-position-horizontal-relative:page">
              <v:fill opacity="0f"/>
              <v:textbox inset="0in,0in,0in,0in">
                <w:txbxContent>
                  <w:p>
                    <w:pPr>
                      <w:pStyle w:val="zYPleadingLogo"/>
                      <w:rPr/>
                    </w:pPr>
                    <w:r>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lineRule="exact" w:line="240"/>
    </w:pPr>
    <w:rPr>
      <w:rFonts w:ascii="Courier;Courier New" w:hAnsi="Courier;Courier New" w:eastAsia="Times New Roman" w:cs="Times New Roman"/>
      <w:color w:val="auto"/>
      <w:sz w:val="24"/>
      <w:szCs w:val="24"/>
      <w:lang w:val="en-US" w:eastAsia="zh-CN" w:bidi="hi-IN"/>
    </w:rPr>
  </w:style>
  <w:style w:type="paragraph" w:styleId="Heading1">
    <w:name w:val="heading 1"/>
    <w:basedOn w:val="HeadingBase"/>
    <w:next w:val="BodyText"/>
    <w:qFormat/>
    <w:pPr>
      <w:numPr>
        <w:ilvl w:val="0"/>
        <w:numId w:val="1"/>
      </w:numPr>
      <w:tabs>
        <w:tab w:val="clear" w:pos="720"/>
      </w:tabs>
      <w:ind w:hanging="720" w:start="1440" w:end="0"/>
      <w:outlineLvl w:val="0"/>
    </w:pPr>
    <w:rPr>
      <w:b/>
      <w:bCs/>
      <w:caps/>
    </w:rPr>
  </w:style>
  <w:style w:type="paragraph" w:styleId="Heading2">
    <w:name w:val="heading 2"/>
    <w:basedOn w:val="HeadingBase"/>
    <w:next w:val="BodyText"/>
    <w:qFormat/>
    <w:pPr>
      <w:numPr>
        <w:ilvl w:val="1"/>
        <w:numId w:val="1"/>
      </w:numPr>
      <w:tabs>
        <w:tab w:val="clear" w:pos="720"/>
      </w:tabs>
      <w:ind w:hanging="720" w:start="2160" w:end="0"/>
      <w:outlineLvl w:val="1"/>
    </w:pPr>
    <w:rPr>
      <w:b/>
      <w:bCs/>
    </w:rPr>
  </w:style>
  <w:style w:type="paragraph" w:styleId="Heading3">
    <w:name w:val="heading 3"/>
    <w:basedOn w:val="HeadingBase"/>
    <w:next w:val="BodyText"/>
    <w:qFormat/>
    <w:pPr>
      <w:numPr>
        <w:ilvl w:val="2"/>
        <w:numId w:val="1"/>
      </w:numPr>
      <w:tabs>
        <w:tab w:val="clear" w:pos="720"/>
      </w:tabs>
      <w:ind w:hanging="720" w:start="2880" w:end="0"/>
      <w:outlineLvl w:val="2"/>
    </w:pPr>
    <w:rPr>
      <w:b/>
      <w:bCs/>
    </w:rPr>
  </w:style>
  <w:style w:type="paragraph" w:styleId="Heading4">
    <w:name w:val="heading 4"/>
    <w:basedOn w:val="HeadingBase"/>
    <w:next w:val="BodyText"/>
    <w:qFormat/>
    <w:pPr>
      <w:numPr>
        <w:ilvl w:val="3"/>
        <w:numId w:val="1"/>
      </w:numPr>
      <w:tabs>
        <w:tab w:val="clear" w:pos="720"/>
      </w:tabs>
      <w:ind w:hanging="720" w:start="3600" w:end="0"/>
      <w:outlineLvl w:val="3"/>
    </w:pPr>
    <w:rPr>
      <w:b/>
      <w:bCs/>
    </w:rPr>
  </w:style>
  <w:style w:type="paragraph" w:styleId="Heading5">
    <w:name w:val="heading 5"/>
    <w:basedOn w:val="HeadingBase"/>
    <w:next w:val="BodyText"/>
    <w:qFormat/>
    <w:pPr>
      <w:numPr>
        <w:ilvl w:val="4"/>
        <w:numId w:val="1"/>
      </w:numPr>
      <w:tabs>
        <w:tab w:val="clear" w:pos="720"/>
      </w:tabs>
      <w:ind w:hanging="720" w:start="4320" w:end="0"/>
      <w:outlineLvl w:val="4"/>
    </w:pPr>
    <w:rPr>
      <w:b/>
      <w:bCs/>
    </w:rPr>
  </w:style>
  <w:style w:type="paragraph" w:styleId="Heading6">
    <w:name w:val="heading 6"/>
    <w:basedOn w:val="HeadingBase"/>
    <w:next w:val="BodyText"/>
    <w:qFormat/>
    <w:pPr>
      <w:numPr>
        <w:ilvl w:val="5"/>
        <w:numId w:val="1"/>
      </w:numPr>
      <w:tabs>
        <w:tab w:val="clear" w:pos="720"/>
      </w:tabs>
      <w:ind w:hanging="720" w:start="5040" w:end="0"/>
      <w:outlineLvl w:val="5"/>
    </w:pPr>
    <w:rPr>
      <w:b/>
      <w:bCs/>
    </w:rPr>
  </w:style>
  <w:style w:type="paragraph" w:styleId="Heading7">
    <w:name w:val="heading 7"/>
    <w:basedOn w:val="HeadingBase"/>
    <w:next w:val="BodyText"/>
    <w:qFormat/>
    <w:pPr>
      <w:numPr>
        <w:ilvl w:val="6"/>
        <w:numId w:val="1"/>
      </w:numPr>
      <w:tabs>
        <w:tab w:val="clear" w:pos="720"/>
      </w:tabs>
      <w:ind w:hanging="720" w:start="5760" w:end="0"/>
      <w:outlineLvl w:val="6"/>
    </w:pPr>
    <w:rPr>
      <w:b/>
      <w:bCs/>
    </w:rPr>
  </w:style>
  <w:style w:type="paragraph" w:styleId="Heading8">
    <w:name w:val="heading 8"/>
    <w:basedOn w:val="HeadingBase"/>
    <w:next w:val="BodyText"/>
    <w:qFormat/>
    <w:pPr>
      <w:numPr>
        <w:ilvl w:val="7"/>
        <w:numId w:val="1"/>
      </w:numPr>
      <w:tabs>
        <w:tab w:val="clear" w:pos="720"/>
      </w:tabs>
      <w:ind w:hanging="720" w:start="6480" w:end="0"/>
      <w:outlineLvl w:val="7"/>
    </w:pPr>
    <w:rPr>
      <w:b/>
      <w:bCs/>
    </w:rPr>
  </w:style>
  <w:style w:type="paragraph" w:styleId="Heading9">
    <w:name w:val="heading 9"/>
    <w:basedOn w:val="HeadingBase"/>
    <w:next w:val="BodyText"/>
    <w:qFormat/>
    <w:pPr>
      <w:numPr>
        <w:ilvl w:val="8"/>
        <w:numId w:val="1"/>
      </w:numPr>
      <w:tabs>
        <w:tab w:val="clear" w:pos="720"/>
      </w:tabs>
      <w:ind w:hanging="720" w:start="7200" w:end="0"/>
      <w:outlineLvl w:val="8"/>
    </w:pPr>
    <w:rPr>
      <w:b/>
      <w:bCs/>
    </w:rPr>
  </w:style>
  <w:style w:type="character" w:styleId="DefaultParagraphFont">
    <w:name w:val="Default Paragraph Font"/>
    <w:qFormat/>
    <w:rPr/>
  </w:style>
  <w:style w:type="character" w:styleId="AnnotationReference">
    <w:name w:val="Annotation Reference"/>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EndnoteCharacters">
    <w:name w:val="Endnote Characters"/>
    <w:basedOn w:val="FootnoteCharacters"/>
    <w:qFormat/>
    <w:rPr/>
  </w:style>
  <w:style w:type="character" w:styleId="MessageHeaderLabel">
    <w:name w:val="Message Header Label"/>
    <w:basedOn w:val="DefaultParagraphFont"/>
    <w:qFormat/>
    <w:rPr>
      <w:smallCaps/>
    </w:rPr>
  </w:style>
  <w:style w:type="character" w:styleId="PageNumber">
    <w:name w:val="page number"/>
    <w:basedOn w:val="DefaultParagraphFont"/>
    <w:rPr/>
  </w:style>
  <w:style w:type="paragraph" w:styleId="Heading">
    <w:name w:val="Heading"/>
    <w:basedOn w:val="HeadingBase"/>
    <w:next w:val="BodyText"/>
    <w:qFormat/>
    <w:pPr>
      <w:spacing w:lineRule="exact" w:line="480" w:before="0" w:after="0"/>
      <w:jc w:val="center"/>
    </w:pPr>
    <w:rPr>
      <w:b/>
      <w:bCs/>
      <w:caps/>
    </w:rPr>
  </w:style>
  <w:style w:type="paragraph" w:styleId="BodyText">
    <w:name w:val="Body Text"/>
    <w:basedOn w:val="Normal"/>
    <w:pPr>
      <w:spacing w:lineRule="exact" w:line="480"/>
      <w:ind w:firstLine="720" w:start="0" w:end="0"/>
    </w:pPr>
    <w:rPr/>
  </w:style>
  <w:style w:type="paragraph" w:styleId="List">
    <w:name w:val="List"/>
    <w:basedOn w:val="BodyText"/>
    <w:pPr>
      <w:ind w:hanging="360" w:start="360" w:end="0"/>
    </w:pPr>
    <w:rPr/>
  </w:style>
  <w:style w:type="paragraph" w:styleId="Caption">
    <w:name w:val="caption"/>
    <w:basedOn w:val="BodyText"/>
    <w:next w:val="BodyText"/>
    <w:qFormat/>
    <w:pPr>
      <w:spacing w:before="120" w:after="0"/>
    </w:pPr>
    <w:rPr>
      <w:i/>
      <w:iCs/>
      <w:sz w:val="20"/>
      <w:szCs w:val="20"/>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120" w:after="0"/>
    </w:pPr>
    <w:rPr/>
  </w:style>
  <w:style w:type="paragraph" w:styleId="FootnoteBase">
    <w:name w:val="Footnote Base"/>
    <w:basedOn w:val="Normal"/>
    <w:qFormat/>
    <w:pPr>
      <w:spacing w:before="0" w:after="120"/>
      <w:ind w:firstLine="720" w:start="0" w:end="0"/>
    </w:pPr>
    <w:rPr/>
  </w:style>
  <w:style w:type="paragraph" w:styleId="AnnotationText">
    <w:name w:val="Annotation Text"/>
    <w:basedOn w:val="FootnoteBase"/>
    <w:qFormat/>
    <w:pPr/>
    <w:rPr/>
  </w:style>
  <w:style w:type="paragraph" w:styleId="BodyTextIndent">
    <w:name w:val="Body Text Indent"/>
    <w:basedOn w:val="BodyText"/>
    <w:pPr>
      <w:ind w:firstLine="720" w:start="720" w:end="0"/>
    </w:pPr>
    <w:rPr/>
  </w:style>
  <w:style w:type="paragraph" w:styleId="BodyTextKeep">
    <w:name w:val="Body Text Keep"/>
    <w:basedOn w:val="BodyText"/>
    <w:qFormat/>
    <w:pPr>
      <w:keepNext w:val="true"/>
    </w:pPr>
    <w:rPr/>
  </w:style>
  <w:style w:type="paragraph" w:styleId="BodyTextLeft">
    <w:name w:val="Body Text Left"/>
    <w:basedOn w:val="BodyText"/>
    <w:qFormat/>
    <w:pPr>
      <w:ind w:hanging="0" w:start="0" w:end="0"/>
    </w:pPr>
    <w:rPr/>
  </w:style>
  <w:style w:type="paragraph" w:styleId="Closing">
    <w:name w:val="Closing"/>
    <w:basedOn w:val="BodyText"/>
    <w:next w:val="Signature"/>
    <w:qFormat/>
    <w:pPr>
      <w:keepNext w:val="true"/>
      <w:keepLines/>
      <w:tabs>
        <w:tab w:val="clear" w:pos="720"/>
        <w:tab w:val="left" w:pos="4680" w:leader="none"/>
      </w:tabs>
      <w:spacing w:lineRule="auto" w:line="240" w:before="240" w:after="240"/>
      <w:ind w:hanging="0" w:start="0" w:end="0"/>
    </w:pPr>
    <w:rPr/>
  </w:style>
  <w:style w:type="paragraph" w:styleId="Signature">
    <w:name w:val="Signature"/>
    <w:basedOn w:val="BodyText"/>
    <w:next w:val="BodyText"/>
    <w:pPr>
      <w:keepNext w:val="true"/>
      <w:keepLines/>
      <w:spacing w:lineRule="auto" w:line="240" w:before="720" w:after="0"/>
      <w:ind w:hanging="0" w:start="4320" w:end="0"/>
    </w:pPr>
    <w:rPr/>
  </w:style>
  <w:style w:type="paragraph" w:styleId="DocumentLabel">
    <w:name w:val="Document Label"/>
    <w:basedOn w:val="HeadingBase"/>
    <w:qFormat/>
    <w:pPr>
      <w:spacing w:before="360" w:after="240"/>
      <w:jc w:val="center"/>
    </w:pPr>
    <w:rPr>
      <w:smallCaps/>
      <w:sz w:val="36"/>
      <w:szCs w:val="36"/>
    </w:rPr>
  </w:style>
  <w:style w:type="paragraph" w:styleId="EndnoteText">
    <w:name w:val="endnote text"/>
    <w:basedOn w:val="FootnoteBase"/>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Base">
    <w:name w:val="Header Base"/>
    <w:basedOn w:val="Normal"/>
    <w:qFormat/>
    <w:pPr>
      <w:tabs>
        <w:tab w:val="clear" w:pos="720"/>
        <w:tab w:val="center" w:pos="4680" w:leader="none"/>
        <w:tab w:val="right" w:pos="936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z w:val="20"/>
      <w:szCs w:val="20"/>
    </w:rPr>
  </w:style>
  <w:style w:type="paragraph" w:styleId="FootnoteText">
    <w:name w:val="footnote text"/>
    <w:basedOn w:val="FootnoteBase"/>
    <w:pPr/>
    <w:rPr/>
  </w:style>
  <w:style w:type="paragraph" w:styleId="Header">
    <w:name w:val="header"/>
    <w:basedOn w:val="HeaderBase"/>
    <w:pPr/>
    <w:rPr/>
  </w:style>
  <w:style w:type="paragraph" w:styleId="IndexBase">
    <w:name w:val="Index Base"/>
    <w:basedOn w:val="Normal"/>
    <w:qFormat/>
    <w:pPr>
      <w:tabs>
        <w:tab w:val="clear" w:pos="720"/>
        <w:tab w:val="right" w:pos="9360" w:leader="dot"/>
      </w:tabs>
      <w:ind w:hanging="360" w:start="360" w:end="0"/>
    </w:pPr>
    <w:rPr/>
  </w:style>
  <w:style w:type="paragraph" w:styleId="Index1">
    <w:name w:val="index 1"/>
    <w:basedOn w:val="IndexBase"/>
    <w:pPr/>
    <w:rPr/>
  </w:style>
  <w:style w:type="paragraph" w:styleId="Index2">
    <w:name w:val="index 2"/>
    <w:basedOn w:val="IndexBase"/>
    <w:pPr>
      <w:ind w:hanging="360" w:start="720" w:end="0"/>
    </w:pPr>
    <w:rPr/>
  </w:style>
  <w:style w:type="paragraph" w:styleId="Index3">
    <w:name w:val="index 3"/>
    <w:basedOn w:val="IndexBase"/>
    <w:pPr>
      <w:ind w:hanging="360" w:start="1080" w:end="0"/>
    </w:pPr>
    <w:rPr/>
  </w:style>
  <w:style w:type="paragraph" w:styleId="Index4">
    <w:name w:val="Index 4"/>
    <w:basedOn w:val="IndexBase"/>
    <w:qFormat/>
    <w:pPr>
      <w:ind w:hanging="360" w:start="1440" w:end="0"/>
    </w:pPr>
    <w:rPr/>
  </w:style>
  <w:style w:type="paragraph" w:styleId="Index5">
    <w:name w:val="Index 5"/>
    <w:basedOn w:val="IndexBase"/>
    <w:qFormat/>
    <w:pPr>
      <w:ind w:hanging="360" w:start="1800" w:end="0"/>
    </w:pPr>
    <w:rPr/>
  </w:style>
  <w:style w:type="paragraph" w:styleId="Index6">
    <w:name w:val="Index 6"/>
    <w:basedOn w:val="IndexBase"/>
    <w:qFormat/>
    <w:pPr>
      <w:ind w:hanging="360" w:start="2160" w:end="0"/>
    </w:pPr>
    <w:rPr/>
  </w:style>
  <w:style w:type="paragraph" w:styleId="Index7">
    <w:name w:val="Index 7"/>
    <w:basedOn w:val="IndexBase"/>
    <w:qFormat/>
    <w:pPr>
      <w:ind w:hanging="360" w:start="2520" w:end="0"/>
    </w:pPr>
    <w:rPr/>
  </w:style>
  <w:style w:type="paragraph" w:styleId="Index8">
    <w:name w:val="Index 8"/>
    <w:basedOn w:val="IndexBase"/>
    <w:qFormat/>
    <w:pPr>
      <w:ind w:hanging="360" w:start="2880" w:end="0"/>
    </w:pPr>
    <w:rPr/>
  </w:style>
  <w:style w:type="paragraph" w:styleId="Index9">
    <w:name w:val="Index 9"/>
    <w:basedOn w:val="IndexBase"/>
    <w:qFormat/>
    <w:pPr>
      <w:ind w:hanging="360" w:start="3240" w:end="0"/>
    </w:pPr>
    <w:rPr/>
  </w:style>
  <w:style w:type="paragraph" w:styleId="IndexHeading">
    <w:name w:val="index heading"/>
    <w:basedOn w:val="IndexBase"/>
    <w:next w:val="Index1"/>
    <w:pPr>
      <w:keepNext w:val="true"/>
      <w:keepLines/>
      <w:spacing w:before="240" w:after="0"/>
    </w:pPr>
    <w:rPr>
      <w:b/>
      <w:bCs/>
    </w:rPr>
  </w:style>
  <w:style w:type="paragraph" w:styleId="ListBullet2">
    <w:name w:val="List Bullet 2"/>
    <w:basedOn w:val="List"/>
    <w:pPr>
      <w:ind w:hanging="360" w:start="720" w:end="0"/>
    </w:pPr>
    <w:rPr/>
  </w:style>
  <w:style w:type="paragraph" w:styleId="ListBullet3">
    <w:name w:val="List Bullet 3"/>
    <w:basedOn w:val="List"/>
    <w:pPr>
      <w:ind w:hanging="360" w:start="1080" w:end="0"/>
    </w:pPr>
    <w:rPr/>
  </w:style>
  <w:style w:type="paragraph" w:styleId="ListBullet4">
    <w:name w:val="List Bullet 4"/>
    <w:basedOn w:val="List"/>
    <w:pPr>
      <w:ind w:hanging="360" w:start="1440" w:end="0"/>
    </w:pPr>
    <w:rPr/>
  </w:style>
  <w:style w:type="paragraph" w:styleId="ListBullet5">
    <w:name w:val="List Bullet 5"/>
    <w:basedOn w:val="List"/>
    <w:pPr>
      <w:ind w:hanging="360" w:start="1800" w:end="0"/>
    </w:pPr>
    <w:rPr/>
  </w:style>
  <w:style w:type="paragraph" w:styleId="ListBullet">
    <w:name w:val="List Bullet"/>
    <w:basedOn w:val="List"/>
    <w:qFormat/>
    <w:pPr>
      <w:numPr>
        <w:ilvl w:val="0"/>
        <w:numId w:val="2"/>
      </w:numPr>
    </w:pPr>
    <w:rPr/>
  </w:style>
  <w:style w:type="paragraph" w:styleId="ListBullet21">
    <w:name w:val="List Bullet 21"/>
    <w:basedOn w:val="ListBullet"/>
    <w:qFormat/>
    <w:pPr>
      <w:ind w:hanging="360" w:start="720" w:end="0"/>
    </w:pPr>
    <w:rPr/>
  </w:style>
  <w:style w:type="paragraph" w:styleId="ListBullet31">
    <w:name w:val="List Bullet 31"/>
    <w:basedOn w:val="ListBullet"/>
    <w:qFormat/>
    <w:pPr>
      <w:ind w:hanging="360" w:start="1080" w:end="0"/>
    </w:pPr>
    <w:rPr/>
  </w:style>
  <w:style w:type="paragraph" w:styleId="ListBullet41">
    <w:name w:val="List Bullet 41"/>
    <w:basedOn w:val="ListBullet"/>
    <w:qFormat/>
    <w:pPr>
      <w:ind w:hanging="360" w:start="1440" w:end="0"/>
    </w:pPr>
    <w:rPr/>
  </w:style>
  <w:style w:type="paragraph" w:styleId="ListBullet51">
    <w:name w:val="List Bullet 51"/>
    <w:basedOn w:val="ListBullet"/>
    <w:qFormat/>
    <w:pPr>
      <w:ind w:hanging="360" w:start="1800" w:end="0"/>
    </w:pPr>
    <w:rPr/>
  </w:style>
  <w:style w:type="paragraph" w:styleId="ListContinue">
    <w:name w:val="List Continue"/>
    <w:basedOn w:val="List"/>
    <w:qFormat/>
    <w:pPr>
      <w:ind w:hanging="0" w:start="360" w:end="0"/>
    </w:pPr>
    <w:rPr/>
  </w:style>
  <w:style w:type="paragraph" w:styleId="ListContinue2">
    <w:name w:val="List Continue 2"/>
    <w:basedOn w:val="ListContinue"/>
    <w:qFormat/>
    <w:pPr>
      <w:ind w:hanging="0" w:start="720" w:end="0"/>
    </w:pPr>
    <w:rPr/>
  </w:style>
  <w:style w:type="paragraph" w:styleId="ListContinue3">
    <w:name w:val="List Continue 3"/>
    <w:basedOn w:val="ListContinue"/>
    <w:qFormat/>
    <w:pPr>
      <w:ind w:hanging="0" w:start="1080" w:end="0"/>
    </w:pPr>
    <w:rPr/>
  </w:style>
  <w:style w:type="paragraph" w:styleId="ListContinue4">
    <w:name w:val="List Continue 4"/>
    <w:basedOn w:val="ListContinue"/>
    <w:qFormat/>
    <w:pPr>
      <w:ind w:hanging="0" w:start="1440" w:end="0"/>
    </w:pPr>
    <w:rPr/>
  </w:style>
  <w:style w:type="paragraph" w:styleId="ListContinue5">
    <w:name w:val="List Continue 5"/>
    <w:basedOn w:val="ListContinue"/>
    <w:qFormat/>
    <w:pPr>
      <w:ind w:hanging="0" w:start="1800" w:end="0"/>
    </w:pPr>
    <w:rPr/>
  </w:style>
  <w:style w:type="paragraph" w:styleId="ListNumber">
    <w:name w:val="List Number"/>
    <w:basedOn w:val="List"/>
    <w:qFormat/>
    <w:pPr>
      <w:numPr>
        <w:ilvl w:val="0"/>
        <w:numId w:val="3"/>
      </w:numPr>
    </w:pPr>
    <w:rPr/>
  </w:style>
  <w:style w:type="paragraph" w:styleId="ListNumber2">
    <w:name w:val="List Number 2"/>
    <w:basedOn w:val="ListNumber"/>
    <w:qFormat/>
    <w:pPr>
      <w:ind w:hanging="360" w:start="720" w:end="0"/>
    </w:pPr>
    <w:rPr/>
  </w:style>
  <w:style w:type="paragraph" w:styleId="ListNumber3">
    <w:name w:val="List Number 3"/>
    <w:basedOn w:val="ListNumber"/>
    <w:qFormat/>
    <w:pPr>
      <w:ind w:hanging="360" w:start="1080" w:end="0"/>
    </w:pPr>
    <w:rPr/>
  </w:style>
  <w:style w:type="paragraph" w:styleId="ListNumber4">
    <w:name w:val="List Number 4"/>
    <w:basedOn w:val="ListNumber"/>
    <w:qFormat/>
    <w:pPr>
      <w:ind w:hanging="360" w:start="1440" w:end="0"/>
    </w:pPr>
    <w:rPr/>
  </w:style>
  <w:style w:type="paragraph" w:styleId="ListNumber5">
    <w:name w:val="List Number 5"/>
    <w:basedOn w:val="ListNumber"/>
    <w:qFormat/>
    <w:p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MessageHeader">
    <w:name w:val="Message Header"/>
    <w:basedOn w:val="Normal"/>
    <w:qFormat/>
    <w:pPr>
      <w:spacing w:before="0" w:after="240"/>
      <w:ind w:hanging="1080" w:start="1080" w:end="0"/>
    </w:pPr>
    <w:rPr/>
  </w:style>
  <w:style w:type="paragraph" w:styleId="Quotation">
    <w:name w:val="Quotation"/>
    <w:basedOn w:val="Normal"/>
    <w:next w:val="BodyTextLeft"/>
    <w:qFormat/>
    <w:pPr>
      <w:spacing w:lineRule="exact" w:line="480"/>
      <w:ind w:hanging="0" w:start="720" w:end="720"/>
    </w:pPr>
    <w:rPr/>
  </w:style>
  <w:style w:type="paragraph" w:styleId="SignatureMacro">
    <w:name w:val="Signature Macro"/>
    <w:basedOn w:val="Normal"/>
    <w:qFormat/>
    <w:pPr>
      <w:ind w:hanging="0" w:start="4680" w:end="0"/>
    </w:pPr>
    <w:rPr/>
  </w:style>
  <w:style w:type="paragraph" w:styleId="Subtitle">
    <w:name w:val="Subtitle"/>
    <w:basedOn w:val="HeadingBase"/>
    <w:next w:val="BodyText"/>
    <w:qFormat/>
    <w:pPr>
      <w:jc w:val="center"/>
    </w:pPr>
    <w:rPr>
      <w:b/>
      <w:bCs/>
      <w:i/>
      <w:iCs/>
    </w:rPr>
  </w:style>
  <w:style w:type="paragraph" w:styleId="TOCBase">
    <w:name w:val="TOC Base"/>
    <w:basedOn w:val="Normal"/>
    <w:qFormat/>
    <w:pPr>
      <w:tabs>
        <w:tab w:val="clear" w:pos="720"/>
        <w:tab w:val="right" w:pos="9576" w:leader="none"/>
      </w:tabs>
      <w:spacing w:before="240" w:after="0"/>
      <w:ind w:hanging="720" w:start="720" w:end="1080"/>
    </w:pPr>
    <w:rPr/>
  </w:style>
  <w:style w:type="paragraph" w:styleId="TableofAuthorities">
    <w:name w:val="Table of Authorities"/>
    <w:basedOn w:val="TOCBase"/>
    <w:qFormat/>
    <w:pPr>
      <w:tabs>
        <w:tab w:val="right" w:pos="9576" w:leader="dot"/>
      </w:tabs>
    </w:pPr>
    <w:rPr/>
  </w:style>
  <w:style w:type="paragraph" w:styleId="TableofFigures">
    <w:name w:val="Table of Figures"/>
    <w:basedOn w:val="TOCBase"/>
    <w:qFormat/>
    <w:pPr/>
    <w:rPr/>
  </w:style>
  <w:style w:type="paragraph" w:styleId="TOAHeading">
    <w:name w:val="TOA Heading"/>
    <w:basedOn w:val="Normal"/>
    <w:next w:val="TableofAuthorities"/>
    <w:qFormat/>
    <w:pPr>
      <w:keepNext w:val="true"/>
      <w:keepLines/>
      <w:spacing w:before="240" w:after="0"/>
    </w:pPr>
    <w:rPr>
      <w:b/>
      <w:bCs/>
    </w:rPr>
  </w:style>
  <w:style w:type="paragraph" w:styleId="TOC1">
    <w:name w:val="toc 1"/>
    <w:basedOn w:val="TOCBase"/>
    <w:pPr>
      <w:tabs>
        <w:tab w:val="left" w:pos="720" w:leader="dot"/>
        <w:tab w:val="right" w:pos="9576" w:leader="dot"/>
      </w:tabs>
    </w:pPr>
    <w:rPr/>
  </w:style>
  <w:style w:type="paragraph" w:styleId="TOC2">
    <w:name w:val="toc 2"/>
    <w:basedOn w:val="TOCBase"/>
    <w:pPr>
      <w:tabs>
        <w:tab w:val="left" w:pos="1440" w:leader="dot"/>
        <w:tab w:val="right" w:pos="9576" w:leader="dot"/>
      </w:tabs>
      <w:ind w:hanging="720" w:start="1440" w:end="1080"/>
    </w:pPr>
    <w:rPr/>
  </w:style>
  <w:style w:type="paragraph" w:styleId="TOC3">
    <w:name w:val="toc 3"/>
    <w:basedOn w:val="TOCBase"/>
    <w:pPr>
      <w:tabs>
        <w:tab w:val="left" w:pos="2160" w:leader="dot"/>
        <w:tab w:val="right" w:pos="9576" w:leader="dot"/>
      </w:tabs>
      <w:ind w:hanging="720" w:start="2160" w:end="1080"/>
    </w:pPr>
    <w:rPr/>
  </w:style>
  <w:style w:type="paragraph" w:styleId="TOC4">
    <w:name w:val="toc 4"/>
    <w:basedOn w:val="TOCBase"/>
    <w:pPr>
      <w:tabs>
        <w:tab w:val="left" w:pos="2880" w:leader="dot"/>
        <w:tab w:val="right" w:pos="9576" w:leader="dot"/>
      </w:tabs>
      <w:ind w:hanging="720" w:start="2880" w:end="1080"/>
    </w:pPr>
    <w:rPr/>
  </w:style>
  <w:style w:type="paragraph" w:styleId="TOC5">
    <w:name w:val="toc 5"/>
    <w:basedOn w:val="TOCBase"/>
    <w:pPr>
      <w:tabs>
        <w:tab w:val="left" w:pos="3600" w:leader="dot"/>
        <w:tab w:val="right" w:pos="9576" w:leader="dot"/>
      </w:tabs>
      <w:ind w:hanging="720" w:start="3600" w:end="1080"/>
    </w:pPr>
    <w:rPr/>
  </w:style>
  <w:style w:type="paragraph" w:styleId="TOC6">
    <w:name w:val="toc 6"/>
    <w:basedOn w:val="TOCBase"/>
    <w:pPr>
      <w:tabs>
        <w:tab w:val="left" w:pos="4320" w:leader="dot"/>
        <w:tab w:val="right" w:pos="9576" w:leader="dot"/>
      </w:tabs>
      <w:ind w:hanging="720" w:start="4320" w:end="1080"/>
    </w:pPr>
    <w:rPr/>
  </w:style>
  <w:style w:type="paragraph" w:styleId="TOC7">
    <w:name w:val="toc 7"/>
    <w:basedOn w:val="TOCBase"/>
    <w:pPr>
      <w:tabs>
        <w:tab w:val="left" w:pos="5040" w:leader="dot"/>
        <w:tab w:val="right" w:pos="9576" w:leader="dot"/>
      </w:tabs>
      <w:ind w:hanging="720" w:start="5040" w:end="1080"/>
    </w:pPr>
    <w:rPr/>
  </w:style>
  <w:style w:type="paragraph" w:styleId="TOC8">
    <w:name w:val="toc 8"/>
    <w:basedOn w:val="TOCBase"/>
    <w:pPr>
      <w:tabs>
        <w:tab w:val="right" w:pos="9576" w:leader="dot"/>
      </w:tabs>
      <w:ind w:hanging="720" w:start="5760" w:end="1080"/>
    </w:pPr>
    <w:rPr/>
  </w:style>
  <w:style w:type="paragraph" w:styleId="TOC9">
    <w:name w:val="toc 9"/>
    <w:basedOn w:val="TOCBase"/>
    <w:pPr>
      <w:tabs>
        <w:tab w:val="right" w:pos="9576" w:leader="dot"/>
      </w:tabs>
      <w:ind w:hanging="720" w:start="6480" w:end="1080"/>
    </w:pPr>
    <w:rPr/>
  </w:style>
  <w:style w:type="paragraph" w:styleId="Heading10">
    <w:name w:val="Heading 10"/>
    <w:basedOn w:val="BodyTextLeft"/>
    <w:next w:val="BodyText"/>
    <w:qFormat/>
    <w:pPr>
      <w:keepNext w:val="true"/>
      <w:keepLines/>
      <w:numPr>
        <w:ilvl w:val="8"/>
        <w:numId w:val="1"/>
      </w:numPr>
      <w:outlineLvl w:val="8"/>
    </w:pPr>
    <w:rPr>
      <w:b/>
      <w:bCs/>
    </w:rPr>
  </w:style>
  <w:style w:type="paragraph" w:styleId="NormalIndent">
    <w:name w:val="Normal Indent"/>
    <w:basedOn w:val="Normal"/>
    <w:qFormat/>
    <w:pPr>
      <w:ind w:firstLine="720" w:start="0" w:end="0"/>
    </w:pPr>
    <w:rPr/>
  </w:style>
  <w:style w:type="paragraph" w:styleId="zYLeftPleadingLine">
    <w:name w:val="zY_LeftPleadingLine"/>
    <w:basedOn w:val="Normal"/>
    <w:qFormat/>
    <w:pPr/>
    <w:rPr>
      <w:sz w:val="20"/>
      <w:szCs w:val="20"/>
    </w:rPr>
  </w:style>
  <w:style w:type="paragraph" w:styleId="Instruction">
    <w:name w:val="Instruction"/>
    <w:basedOn w:val="BodyTextLeft"/>
    <w:next w:val="BodyText"/>
    <w:qFormat/>
    <w:pPr>
      <w:spacing w:lineRule="exact" w:line="240" w:before="240" w:after="240"/>
      <w:jc w:val="center"/>
    </w:pPr>
    <w:rPr/>
  </w:style>
  <w:style w:type="paragraph" w:styleId="Heading11">
    <w:name w:val="Heading 11"/>
    <w:basedOn w:val="Heading10"/>
    <w:next w:val="Instruction"/>
    <w:qFormat/>
    <w:pPr>
      <w:ind w:hanging="0" w:start="0"/>
      <w:jc w:val="center"/>
      <w:outlineLvl w:val="9"/>
    </w:pPr>
    <w:rPr/>
  </w:style>
  <w:style w:type="paragraph" w:styleId="zYLineNumbers">
    <w:name w:val="zY_LineNumbers"/>
    <w:basedOn w:val="Normal"/>
    <w:qFormat/>
    <w:pPr>
      <w:spacing w:lineRule="exact" w:line="480"/>
      <w:jc w:val="end"/>
    </w:pPr>
    <w:rPr>
      <w:rFonts w:ascii="Arial" w:hAnsi="Arial" w:eastAsia="Arial" w:cs="Arial"/>
      <w:sz w:val="22"/>
      <w:szCs w:val="22"/>
    </w:rPr>
  </w:style>
  <w:style w:type="paragraph" w:styleId="zYPleading">
    <w:name w:val="zY_Pleading"/>
    <w:basedOn w:val="BodyText"/>
    <w:qFormat/>
    <w:pPr>
      <w:spacing w:lineRule="auto" w:line="240" w:before="0" w:after="240"/>
    </w:pPr>
    <w:rPr/>
  </w:style>
  <w:style w:type="paragraph" w:styleId="zYPleadingLogo">
    <w:name w:val="zY_PleadingLogo"/>
    <w:basedOn w:val="Normal"/>
    <w:qFormat/>
    <w:pPr>
      <w:keepLines/>
    </w:pPr>
    <w:rPr/>
  </w:style>
  <w:style w:type="paragraph" w:styleId="zYRightPleadingLine">
    <w:name w:val="zY_RightPleadingLine"/>
    <w:basedOn w:val="Normal"/>
    <w:qFormat/>
    <w:pPr>
      <w:spacing w:lineRule="exact" w:line="480"/>
    </w:pPr>
    <w:rPr>
      <w:sz w:val="24"/>
      <w:szCs w:val="24"/>
    </w:rPr>
  </w:style>
  <w:style w:type="paragraph" w:styleId="Quote">
    <w:name w:val="Quote"/>
    <w:basedOn w:val="Normal"/>
    <w:next w:val="AfterQuote"/>
    <w:qFormat/>
    <w:pPr>
      <w:widowControl w:val="false"/>
      <w:spacing w:lineRule="atLeast" w:line="240" w:before="240" w:after="0"/>
      <w:ind w:hanging="0" w:start="1440" w:end="1440"/>
      <w:jc w:val="both"/>
    </w:pPr>
    <w:rPr>
      <w:rFonts w:ascii="Times New Roman" w:hAnsi="Times New Roman" w:eastAsia="Times New Roman" w:cs="Times New Roman"/>
      <w:kern w:val="2"/>
    </w:rPr>
  </w:style>
  <w:style w:type="paragraph" w:styleId="zzMotionFrameText">
    <w:name w:val="zzMotionFrameText"/>
    <w:basedOn w:val="Normal"/>
    <w:qFormat/>
    <w:pPr>
      <w:spacing w:lineRule="auto" w:line="240"/>
      <w:jc w:val="end"/>
    </w:pPr>
    <w:rPr>
      <w:rFonts w:ascii="Courier New" w:hAnsi="Courier New" w:eastAsia="Courier New" w:cs="Courier New"/>
      <w:sz w:val="16"/>
      <w:szCs w:val="16"/>
    </w:rPr>
  </w:style>
  <w:style w:type="paragraph" w:styleId="BodyText1">
    <w:name w:val="Body Text #"/>
    <w:basedOn w:val="BodyText"/>
    <w:qFormat/>
    <w:pPr>
      <w:widowControl w:val="false"/>
      <w:numPr>
        <w:ilvl w:val="0"/>
        <w:numId w:val="4"/>
      </w:numPr>
      <w:jc w:val="both"/>
    </w:pPr>
    <w:rPr>
      <w:rFonts w:ascii="Times New Roman" w:hAnsi="Times New Roman" w:eastAsia="Times New Roman" w:cs="Times New Roman"/>
      <w:kern w:val="2"/>
    </w:rPr>
  </w:style>
  <w:style w:type="paragraph" w:styleId="AfterQuote">
    <w:name w:val="After Quote"/>
    <w:basedOn w:val="BodyText"/>
    <w:next w:val="BodyText"/>
    <w:qFormat/>
    <w:pPr>
      <w:widowControl w:val="false"/>
      <w:ind w:hanging="0" w:start="0" w:end="0"/>
      <w:jc w:val="both"/>
    </w:pPr>
    <w:rPr>
      <w:rFonts w:ascii="Times New Roman" w:hAnsi="Times New Roman" w:eastAsia="Times New Roman" w:cs="Times New Roman"/>
      <w:kern w:val="2"/>
    </w:rPr>
  </w:style>
  <w:style w:type="paragraph" w:styleId="StandardL1">
    <w:name w:val="Standard_L1"/>
    <w:basedOn w:val="Normal"/>
    <w:qFormat/>
    <w:pPr>
      <w:widowControl w:val="false"/>
      <w:tabs>
        <w:tab w:val="clear" w:pos="720"/>
        <w:tab w:val="left" w:pos="1440" w:leader="none"/>
      </w:tabs>
      <w:spacing w:lineRule="exact" w:line="480"/>
      <w:ind w:firstLine="720" w:start="0" w:end="0"/>
    </w:pPr>
    <w:rPr>
      <w:rFonts w:ascii="CG Times;Times New Roman" w:hAnsi="CG Times;Times New Roman" w:eastAsia="CG Times;Times New Roman" w:cs="CG Times;Times New Roman"/>
    </w:rPr>
  </w:style>
  <w:style w:type="paragraph" w:styleId="PleadingBody">
    <w:name w:val="Pleading Body"/>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start="0" w:end="0"/>
    </w:pPr>
    <w:rPr>
      <w:rFonts w:ascii="CG Times;Times New Roman" w:hAnsi="CG Times;Times New Roman" w:eastAsia="CG Times;Times New Roman" w:cs="CG Time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central</Template>
  <TotalTime>796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2001-02-07T23:42:00Z</dcterms:created>
  <dc:creator>AYUDKOWSKY</dc:creator>
  <dc:description/>
  <dc:language>en-CA</dc:language>
  <cp:lastModifiedBy>AYUDKOWSKY</cp:lastModifiedBy>
  <cp:lastPrinted>2001-02-09T12:56:00Z</cp:lastPrinted>
  <dcterms:modified xsi:type="dcterms:W3CDTF">2001-02-10T01:01:00Z</dcterms:modified>
  <cp:revision>18</cp:revision>
  <dc:subject/>
  <dc:title>COMPLAINT SEMPRA</dc:title>
</cp:coreProperties>
</file>