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UNITED STATES BANKRUPTCY COURT</w:t>
      </w:r>
    </w:p>
    <w:p>
      <w:pPr>
        <w:pStyle w:val="Normal"/>
        <w:jc w:val="center"/>
        <w:rPr/>
      </w:pPr>
      <w:r>
        <w:rPr/>
        <w:t>DISTRICT OF CONNECTICUT</w:t>
      </w:r>
    </w:p>
    <w:p>
      <w:pPr>
        <w:pStyle w:val="Normal"/>
        <w:spacing w:before="0" w:after="240"/>
        <w:jc w:val="center"/>
        <w:rPr/>
      </w:pPr>
      <w:r>
        <w:rPr/>
        <w:t>BRIDGEPORT DIVISION</w:t>
      </w:r>
    </w:p>
    <w:p>
      <w:pPr>
        <w:pStyle w:val="Normal"/>
        <w:tabs>
          <w:tab w:val="clear" w:pos="720"/>
          <w:tab w:val="left" w:pos="4680" w:leader="none"/>
        </w:tabs>
        <w:spacing w:before="0" w:after="240"/>
        <w:rPr/>
      </w:pPr>
      <w:r>
        <w:rPr>
          <w:sz w:val="22"/>
          <w:u w:val="single"/>
        </w:rPr>
        <w:tab/>
      </w:r>
      <w:r>
        <w:rPr>
          <w:sz w:val="22"/>
        </w:rPr>
        <w:t>x</w:t>
      </w:r>
    </w:p>
    <w:p>
      <w:pPr>
        <w:pStyle w:val="Normal"/>
        <w:tabs>
          <w:tab w:val="clear" w:pos="720"/>
          <w:tab w:val="left" w:pos="4680" w:leader="none"/>
        </w:tabs>
        <w:rPr>
          <w:sz w:val="22"/>
        </w:rPr>
      </w:pPr>
      <w:r>
        <w:rPr>
          <w:sz w:val="22"/>
        </w:rPr>
        <w:t>In re:</w:t>
        <w:tab/>
        <w:t>:</w:t>
      </w:r>
    </w:p>
    <w:p>
      <w:pPr>
        <w:pStyle w:val="Normal"/>
        <w:tabs>
          <w:tab w:val="clear" w:pos="720"/>
          <w:tab w:val="left" w:pos="4680" w:leader="none"/>
          <w:tab w:val="left" w:pos="5400" w:leader="none"/>
        </w:tabs>
        <w:rPr>
          <w:sz w:val="22"/>
        </w:rPr>
      </w:pPr>
      <w:r>
        <w:rPr>
          <w:sz w:val="22"/>
        </w:rPr>
        <w:tab/>
        <w:tab/>
        <w:t>Chapter 11</w:t>
      </w:r>
    </w:p>
    <w:p>
      <w:pPr>
        <w:pStyle w:val="Normal"/>
        <w:tabs>
          <w:tab w:val="clear" w:pos="720"/>
          <w:tab w:val="left" w:pos="4680" w:leader="none"/>
        </w:tabs>
        <w:rPr>
          <w:sz w:val="22"/>
        </w:rPr>
      </w:pPr>
      <w:r>
        <w:rPr>
          <w:sz w:val="22"/>
        </w:rPr>
        <w:t>THE POWER COMPANY OF AMERICA, L.P.</w:t>
        <w:tab/>
        <w:t>:</w:t>
      </w:r>
    </w:p>
    <w:p>
      <w:pPr>
        <w:pStyle w:val="Normal"/>
        <w:tabs>
          <w:tab w:val="clear" w:pos="720"/>
          <w:tab w:val="left" w:pos="4680" w:leader="none"/>
          <w:tab w:val="left" w:pos="5400" w:leader="none"/>
        </w:tabs>
        <w:rPr>
          <w:sz w:val="22"/>
        </w:rPr>
      </w:pPr>
      <w:r>
        <w:rPr>
          <w:sz w:val="22"/>
        </w:rPr>
        <w:tab/>
        <w:tab/>
        <w:t>Case No. 98/51570 (AHWS)</w:t>
      </w:r>
    </w:p>
    <w:p>
      <w:pPr>
        <w:pStyle w:val="Normal"/>
        <w:tabs>
          <w:tab w:val="clear" w:pos="720"/>
          <w:tab w:val="left" w:pos="2160" w:leader="none"/>
          <w:tab w:val="left" w:pos="4680" w:leader="none"/>
        </w:tabs>
        <w:rPr>
          <w:sz w:val="22"/>
        </w:rPr>
      </w:pPr>
      <w:r>
        <w:rPr>
          <w:sz w:val="22"/>
        </w:rPr>
        <w:tab/>
        <w:t>Debtor.</w:t>
        <w:tab/>
        <w:t>:</w:t>
      </w:r>
    </w:p>
    <w:p>
      <w:pPr>
        <w:pStyle w:val="Normal"/>
        <w:tabs>
          <w:tab w:val="clear" w:pos="720"/>
          <w:tab w:val="left" w:pos="4680" w:leader="none"/>
        </w:tabs>
        <w:rPr/>
      </w:pPr>
      <w:r>
        <w:rPr>
          <w:sz w:val="22"/>
          <w:u w:val="single"/>
        </w:rPr>
        <w:tab/>
      </w:r>
      <w:r>
        <w:rPr>
          <w:sz w:val="22"/>
        </w:rPr>
        <w:t>x</w:t>
      </w:r>
    </w:p>
    <w:p>
      <w:pPr>
        <w:pStyle w:val="Normal"/>
        <w:tabs>
          <w:tab w:val="clear" w:pos="720"/>
          <w:tab w:val="left" w:pos="2160" w:leader="none"/>
          <w:tab w:val="left" w:pos="4680" w:leader="none"/>
        </w:tabs>
        <w:rPr>
          <w:sz w:val="22"/>
        </w:rPr>
      </w:pPr>
      <w:r>
        <w:rPr>
          <w:sz w:val="22"/>
        </w:rPr>
        <w:t>THE PCA LIQUIDATING TRUST,</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Plaintiff,</w:t>
        <w:tab/>
      </w:r>
    </w:p>
    <w:p>
      <w:pPr>
        <w:pStyle w:val="Normal"/>
        <w:tabs>
          <w:tab w:val="clear" w:pos="720"/>
          <w:tab w:val="left" w:pos="4680" w:leader="none"/>
        </w:tabs>
        <w:rPr>
          <w:sz w:val="22"/>
        </w:rPr>
      </w:pPr>
      <w:r>
        <w:rPr>
          <w:sz w:val="22"/>
        </w:rPr>
        <w:tab/>
        <w:t>:</w:t>
      </w:r>
    </w:p>
    <w:p>
      <w:pPr>
        <w:pStyle w:val="Normal"/>
        <w:tabs>
          <w:tab w:val="clear" w:pos="720"/>
          <w:tab w:val="left" w:pos="1440" w:leader="none"/>
          <w:tab w:val="left" w:pos="5400" w:leader="none"/>
        </w:tabs>
        <w:rPr>
          <w:sz w:val="22"/>
        </w:rPr>
      </w:pPr>
      <w:r>
        <w:rPr>
          <w:sz w:val="22"/>
        </w:rPr>
        <w:tab/>
        <w:t>-against-</w:t>
        <w:tab/>
        <w:t>Adv. Proc. No. 00-05067</w:t>
      </w:r>
    </w:p>
    <w:p>
      <w:pPr>
        <w:pStyle w:val="Normal"/>
        <w:tabs>
          <w:tab w:val="clear" w:pos="720"/>
          <w:tab w:val="left" w:pos="4680" w:leader="none"/>
        </w:tabs>
        <w:rPr>
          <w:sz w:val="22"/>
        </w:rPr>
      </w:pPr>
      <w:r>
        <w:rPr>
          <w:sz w:val="22"/>
        </w:rPr>
        <w:tab/>
        <w:t>:</w:t>
      </w:r>
    </w:p>
    <w:p>
      <w:pPr>
        <w:pStyle w:val="Normal"/>
        <w:tabs>
          <w:tab w:val="clear" w:pos="720"/>
          <w:tab w:val="left" w:pos="4680" w:leader="none"/>
        </w:tabs>
        <w:rPr>
          <w:sz w:val="22"/>
        </w:rPr>
      </w:pPr>
      <w:r>
        <w:rPr>
          <w:sz w:val="22"/>
        </w:rPr>
        <w:t>ENRON POWER MARKETING, INC.</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Defendant.</w:t>
        <w:tab/>
      </w:r>
    </w:p>
    <w:p>
      <w:pPr>
        <w:pStyle w:val="Normal"/>
        <w:tabs>
          <w:tab w:val="clear" w:pos="720"/>
          <w:tab w:val="left" w:pos="4680" w:leader="none"/>
        </w:tabs>
        <w:rPr>
          <w:sz w:val="22"/>
        </w:rPr>
      </w:pPr>
      <w:r>
        <w:rPr>
          <w:sz w:val="22"/>
        </w:rPr>
        <w:tab/>
        <w:t>:</w:t>
      </w:r>
    </w:p>
    <w:p>
      <w:pPr>
        <w:pStyle w:val="Normal"/>
        <w:tabs>
          <w:tab w:val="clear" w:pos="720"/>
          <w:tab w:val="left" w:pos="4680" w:leader="none"/>
        </w:tabs>
        <w:spacing w:before="0" w:after="360"/>
        <w:rPr/>
      </w:pPr>
      <w:r>
        <w:rPr>
          <w:sz w:val="22"/>
          <w:u w:val="single"/>
        </w:rPr>
        <w:tab/>
      </w:r>
      <w:r>
        <w:rPr>
          <w:sz w:val="22"/>
        </w:rPr>
        <w:t>x</w:t>
      </w:r>
    </w:p>
    <w:p>
      <w:pPr>
        <w:pStyle w:val="Heading"/>
        <w:spacing w:before="120" w:after="360"/>
        <w:rPr>
          <w:rFonts w:ascii="Times New Roman Bold;Times New Roman" w:hAnsi="Times New Roman Bold;Times New Roman" w:cs="Times New Roman Bold;Times New Roman"/>
          <w:sz w:val="22"/>
        </w:rPr>
      </w:pPr>
      <w:r>
        <w:rPr>
          <w:rFonts w:cs="Times New Roman Bold;Times New Roman" w:ascii="Times New Roman Bold;Times New Roman" w:hAnsi="Times New Roman Bold;Times New Roman"/>
          <w:sz w:val="22"/>
        </w:rPr>
      </w:r>
    </w:p>
    <w:p>
      <w:pPr>
        <w:pStyle w:val="Heading"/>
        <w:spacing w:before="120" w:after="36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r>
    </w:p>
    <w:p>
      <w:pPr>
        <w:sectPr>
          <w:headerReference w:type="default" r:id="rId2"/>
          <w:headerReference w:type="first" r:id="rId3"/>
          <w:footerReference w:type="default" r:id="rId4"/>
          <w:footerReference w:type="first" r:id="rId5"/>
          <w:type w:val="nextPage"/>
          <w:pgSz w:w="12240" w:h="15840"/>
          <w:pgMar w:left="1440" w:right="1440" w:gutter="0" w:header="432" w:top="1440" w:footer="720" w:bottom="1440"/>
          <w:pgNumType w:fmt="decimal"/>
          <w:formProt w:val="false"/>
          <w:titlePg/>
          <w:textDirection w:val="lrTb"/>
          <w:docGrid w:type="default" w:linePitch="360" w:charSpace="0"/>
        </w:sectPr>
        <w:pStyle w:val="Heading"/>
        <w:spacing w:before="120" w:after="360"/>
        <w:rPr/>
      </w:pPr>
      <w:r>
        <w:rPr>
          <w:rFonts w:cs="Times New Roman Bold;Times New Roman" w:ascii="Times New Roman Bold;Times New Roman" w:hAnsi="Times New Roman Bold;Times New Roman"/>
        </w:rPr>
        <w:t>ENRON POWER MARKETING, INC.’S REPLY IN</w:t>
        <w:br/>
      </w:r>
      <w:r>
        <w:rPr>
          <w:rFonts w:cs="Times New Roman Bold;Times New Roman" w:ascii="Times New Roman Bold;Times New Roman" w:hAnsi="Times New Roman Bold;Times New Roman"/>
          <w:u w:val="single"/>
        </w:rPr>
        <w:t>SUPPORT OF ITS MOTION TO COMPEL ARBITRATION OF CLAIMS I AND II</w:t>
      </w:r>
    </w:p>
    <w:p>
      <w:pPr>
        <w:pStyle w:val="Subtitle"/>
        <w:rPr/>
      </w:pPr>
      <w:r>
        <w:rPr/>
        <w:t>PRELIMINARY STATEMENT</w:t>
      </w:r>
    </w:p>
    <w:p>
      <w:pPr>
        <w:pStyle w:val="BodyText2"/>
        <w:rPr/>
      </w:pPr>
      <w:r>
        <w:rPr/>
        <w:t>Despite the Trustee’s repeated assertions that he desires speedy resolution of these adversary proceedings and is amenable to alternative dispute resolution, the Trustee constructs a host of arguments to avoid a prompt determination of the Trust’s claims relating to the termination of the Transactions under the Master Agreement and its alleged entitlement to unjust enrichment damages.  Relying on the general reference to “counterclaims” in section 157(b)(2)(C), the Trustee simplistically argues that Claims I and II are core proceedings.  Ignoring the strong presumption in favor of arbitration, especially in non-core proceedings, the Trustee argues that the arbitration provisions of the Master Agreement do not cover Claims I and II.  Finally, in a last ditch effort to further delay a resolution of this case, the Trustee asks for discovery in order to divine the parties’ to arbitrate.  For the reasons set forth in the Motion and in this Reply, the Trustee’s arguments fail and this Court should compel arbitration of Claims I and II.</w:t>
      </w:r>
    </w:p>
    <w:p>
      <w:pPr>
        <w:pStyle w:val="BodyText2"/>
        <w:ind w:hanging="0" w:end="0"/>
        <w:jc w:val="center"/>
        <w:rPr>
          <w:b/>
          <w:u w:val="single"/>
        </w:rPr>
      </w:pPr>
      <w:r>
        <w:rPr>
          <w:b/>
          <w:u w:val="single"/>
        </w:rPr>
        <w:t>SUMMARY OF ARGUMENT</w:t>
      </w:r>
    </w:p>
    <w:p>
      <w:pPr>
        <w:pStyle w:val="BodyText2"/>
        <w:rPr/>
      </w:pPr>
      <w:r>
        <w:rPr/>
        <w:t>In determining whether a counterclaim constitutes a core proceeding under section 157(b)(2)(C), the court must independently analyze each claim to determine whether the claim is a pure state law proceeding or whether it is a proceeding that exists only in bankruptcy.  Claims I and II unquestionably are based solely on state law, arose prior to the bankruptcy proceeding, and are not dependent upon any provision of the Bankruptcy Code.  Neither are Claims I and II sufficiently related to EPMI’s proof of claim to fall within the umbrella of counterclaims given core status under section 157(b)(2)(C).</w:t>
      </w:r>
    </w:p>
    <w:p>
      <w:pPr>
        <w:pStyle w:val="BodyText2"/>
        <w:rPr/>
      </w:pPr>
      <w:r>
        <w:rPr/>
        <w:t>The mandatory arbitration provisions in the Master Agreement are sufficiently broad to cover Claims I and II.  In arguing otherwise, the Trustee conveniently ignores the actual language of the arbitration clause in Exhibit C of the Master Agreement, which includes matters relating to the “interpretation” of the Termination</w:t>
      </w:r>
      <w:r>
        <w:rPr>
          <w:b/>
        </w:rPr>
        <w:t xml:space="preserve"> </w:t>
      </w:r>
      <w:r>
        <w:rPr/>
        <w:t xml:space="preserve">Payment.  More importantly, the arbitration provision in section 3.5, which the Trustee admits is a broad arbitration clause, dictates that Claims I and II be sent to arbitration.  </w:t>
      </w:r>
    </w:p>
    <w:p>
      <w:pPr>
        <w:pStyle w:val="BodyText2"/>
        <w:rPr/>
      </w:pPr>
      <w:r>
        <w:rPr/>
        <w:t>The interpretation of the Termination Payment includes whether a proper termination of the Transactions took place.  If the Transactions were not properly terminated and EPMI failed to deliver electricity, as the Trustee alleges, then section 3.5 of the Master Agreement controls.  Section 3.5 provides that “[d]isagreements pursuant to this Section 3.5 shall be submitted to arbitration . . . .”  Whether the Transactions were properly terminated or whether EPMI failed to deliver electricity are precisely the issues raised in the Trustee’s breach of contract claim in Claim I.  Likewise, whether the Trust is entitled to any recovery from EPMI, regardless of whether the Transactions were properly terminated, as requested in Claim II, involves a dispute under section 3.5 and an interpretation of the Termination Payment and whether, as a matter of law, this is the only remedy the parties are entitled to under the Master Agreement.</w:t>
      </w:r>
    </w:p>
    <w:p>
      <w:pPr>
        <w:pStyle w:val="BodyText2"/>
        <w:rPr/>
      </w:pPr>
      <w:r>
        <w:rPr/>
        <w:t>Finally, discovery is neither necessary or warranted to determine the parties’ intent relating to the scope of the arbitration provisions in the Master Agreement:  any ambiguity relating to the scope of the arbitration clause must be resolved in favor of arbitration.</w:t>
      </w:r>
    </w:p>
    <w:p>
      <w:pPr>
        <w:pStyle w:val="Subtitle"/>
        <w:rPr/>
      </w:pPr>
      <w:r>
        <w:rPr/>
        <w:t>ARGUMENT</w:t>
      </w:r>
    </w:p>
    <w:p>
      <w:pPr>
        <w:pStyle w:val="StandardL1"/>
        <w:numPr>
          <w:ilvl w:val="0"/>
          <w:numId w:val="15"/>
        </w:numPr>
        <w:rPr/>
      </w:pPr>
      <w:r>
        <w:rPr/>
        <w:t>Not All Counterclaims Are Core Proceedings Under Section 157(b)(2)(C).</w:t>
      </w:r>
    </w:p>
    <w:p>
      <w:pPr>
        <w:pStyle w:val="BodyText2"/>
        <w:rPr/>
      </w:pPr>
      <w:r>
        <w:rPr/>
        <w:t>EPMI recognizes that certain counter claims asserted in response to a proof of claim may be core proceedings.</w:t>
      </w:r>
      <w:r>
        <w:rPr>
          <w:rStyle w:val="FootnoteCharacters"/>
          <w:rStyle w:val="FootnoteReference"/>
        </w:rPr>
        <w:footnoteReference w:id="2"/>
      </w:r>
      <w:r>
        <w:rPr/>
        <w:t xml:space="preserve">  EPMI further recognizes that section 157(b)(2) includes “counterclaims” in its laundry list of core proceedings.  What the Trustee fails to recognize or advise this Court is that, despite the literal language of section 157, not all counterclaims are core proceedings.  The relevant inquiry is whether the each cause of action asserted as a counterclaim independently satisfies the definition of a core proceeding or has a sufficiently close nexus to the proof of claim that the Bankruptcy Court may finally adjudicate it within the constitutional limitations of its jurisdiction.  </w:t>
      </w:r>
    </w:p>
    <w:p>
      <w:pPr>
        <w:pStyle w:val="BodyText2"/>
        <w:rPr/>
      </w:pPr>
      <w:r>
        <w:rPr/>
        <w:t xml:space="preserve">The Bankruptcy Court in </w:t>
      </w:r>
      <w:r>
        <w:rPr>
          <w:i/>
        </w:rPr>
        <w:t>In re Lacy</w:t>
      </w:r>
      <w:r>
        <w:rPr/>
        <w:t>, 183 B.R. 890 (Bktrcy. D. Colo. 1995), cogently articulated the analysis that must be undertaken in determining whether a counterclaim asserted against a creditor with a proof of claim constitutes a core proceeding:</w:t>
      </w:r>
    </w:p>
    <w:p>
      <w:pPr>
        <w:pStyle w:val="BodyTextIndent"/>
        <w:rPr/>
      </w:pPr>
      <w:r>
        <w:rPr/>
        <w:t xml:space="preserve">[T]he bankruptcy courts’ jurisdiction over a given issue or claim is based entirely on the relationship between the underlying bankruptcy proceeding and the asserted claim.  The more direct the relationship, the stronger the argument in favor of jurisdiction.  </w:t>
      </w:r>
      <w:r>
        <w:rPr>
          <w:i/>
        </w:rPr>
        <w:t>See</w:t>
      </w:r>
      <w:r>
        <w:rPr/>
        <w:t xml:space="preserve">, </w:t>
      </w:r>
      <w:r>
        <w:rPr>
          <w:i/>
        </w:rPr>
        <w:t>Pacor, Inc. v. Higgins</w:t>
      </w:r>
      <w:r>
        <w:rPr/>
        <w:t>, 743 F.2d 984 (3d Cir. 1984).</w:t>
      </w:r>
    </w:p>
    <w:p>
      <w:pPr>
        <w:pStyle w:val="BodyTextIndent"/>
        <w:rPr/>
      </w:pPr>
      <w:r>
        <w:rPr/>
        <w:t xml:space="preserve">In section 157(b)(2), Congress set forth a non-exclusive list of 15 types of core proceedings.  28 U.S. C. § 157(b)(2).  The list includes “matters concerning the administration of the case,” “allowance or disallowance of claims against the estate,” and “counterclaims by the estate against persons filing claims against the estate.”  28 U.S.C. § 157(b)(2)(A), (B), and (C).  The list, however, must be interpreted in conjunction with the limitations on bankruptcy court jurisdiction set forth in </w:t>
      </w:r>
      <w:r>
        <w:rPr>
          <w:i/>
        </w:rPr>
        <w:t>Northern Pipeline Construction Co. v. Marathon Pipe Line Co</w:t>
      </w:r>
      <w:r>
        <w:rPr/>
        <w:t xml:space="preserve"> . . . .</w:t>
      </w:r>
    </w:p>
    <w:p>
      <w:pPr>
        <w:pStyle w:val="BodyTextIndent"/>
        <w:rPr/>
      </w:pPr>
      <w:r>
        <w:rPr/>
        <w:t xml:space="preserve">. . . </w:t>
      </w:r>
    </w:p>
    <w:p>
      <w:pPr>
        <w:pStyle w:val="BodyTextIndent"/>
        <w:rPr/>
      </w:pPr>
      <w:r>
        <w:rPr/>
        <w:t>Thus, [t]he fact that the Reorganized Debtor’s claims could arguable fit within the literal wording of subsection B and C of section 157 does not conclude this Court’s analysis</w:t>
      </w:r>
      <w:r>
        <w:rPr>
          <w:b/>
        </w:rPr>
        <w:t xml:space="preserve">.  </w:t>
      </w:r>
      <w:r>
        <w:rPr>
          <w:b/>
          <w:i/>
        </w:rPr>
        <w:t xml:space="preserve">The Court must determine whether this case is a “pure state law proceeding,” in which case it is not a core proceeding, or whether it is a proceeding which has no existence outside of bankruptcy, in which case it is a core proceeding. </w:t>
      </w:r>
    </w:p>
    <w:p>
      <w:pPr>
        <w:pStyle w:val="BodyText"/>
        <w:rPr/>
      </w:pPr>
      <w:r>
        <w:rPr/>
        <w:t xml:space="preserve">183 B.R. at 893 (emphasis added).  As discussed below, Claims I and II are pure state law proceedings that exist outside of bankruptcy.  </w:t>
      </w:r>
      <w:r>
        <w:rPr>
          <w:i/>
        </w:rPr>
        <w:t>See</w:t>
      </w:r>
      <w:r>
        <w:rPr/>
        <w:t xml:space="preserve"> p. __-__, </w:t>
      </w:r>
      <w:r>
        <w:rPr>
          <w:i/>
        </w:rPr>
        <w:t>infra</w:t>
      </w:r>
      <w:r>
        <w:rPr/>
        <w:t xml:space="preserve">.  As such, Claims I and II are core proceedings.  </w:t>
      </w:r>
    </w:p>
    <w:p>
      <w:pPr>
        <w:pStyle w:val="BodyText2"/>
        <w:rPr/>
      </w:pPr>
      <w:r>
        <w:rPr/>
        <w:t xml:space="preserve">The importance of this core/non-core analysis had been previously underscored by the court in </w:t>
      </w:r>
      <w:r>
        <w:rPr>
          <w:i/>
        </w:rPr>
        <w:t>In re Yagow</w:t>
      </w:r>
      <w:r>
        <w:rPr/>
        <w:t>, 53 B.R. 737 (Bkrtcy. N.D. 1985):</w:t>
      </w:r>
    </w:p>
    <w:p>
      <w:pPr>
        <w:pStyle w:val="BodyTextIndent"/>
        <w:rPr/>
      </w:pPr>
      <w:r>
        <w:rPr/>
        <w:t xml:space="preserve">Core matters are those defined in section 157(b)(2) and mean those proceedings that would not exist in absence of the Bankruptcy Code.  Section 157(b)(2)(C) includes, as a core proceeding, counterclaims by the estate against persons filing claims against the estate.  The language of this section may be expansively interpreted so as to include as a core matter any cause of action if asserted by a debtor as a counterclaim.  Such an expansive reading would completely emasculate the jurisdictional proscriptions of </w:t>
      </w:r>
      <w:r>
        <w:rPr>
          <w:i/>
        </w:rPr>
        <w:t xml:space="preserve">Northern Pipeline Construction Co. v. Marathon Pipe Line Co., </w:t>
      </w:r>
      <w:r>
        <w:rPr/>
        <w:t xml:space="preserve">. . . and would, in the view of this Court, render the requirement of an independent jurisdictional basis all but meaningless.  </w:t>
      </w:r>
      <w:r>
        <w:rPr>
          <w:b/>
          <w:i/>
        </w:rPr>
        <w:t xml:space="preserve">An inventive debtor would be free to use section 157(b)(2)(C) as a vehicle to avoid the jurisdictional proscription of the Marathon case, a result which cannot be countenanced in light of the Supreme Court’s position regarding the jurisdictional perimeters of bankruptcy judges.  </w:t>
      </w:r>
    </w:p>
    <w:p>
      <w:pPr>
        <w:pStyle w:val="BodyText"/>
        <w:rPr/>
      </w:pPr>
      <w:r>
        <w:rPr/>
        <w:t xml:space="preserve">53 B.R. at 739 (emphasis added).  Similar to the inventive debtor described in </w:t>
      </w:r>
      <w:r>
        <w:rPr>
          <w:i/>
        </w:rPr>
        <w:t>Yagow</w:t>
      </w:r>
      <w:r>
        <w:rPr/>
        <w:t>, the Trustee here is attempting to invent core status by simply labeling Claims I and II as counterclaims and relying on the literal language of section 157(b)(2)(C).</w:t>
      </w:r>
    </w:p>
    <w:p>
      <w:pPr>
        <w:pStyle w:val="BodyText2"/>
        <w:rPr/>
      </w:pPr>
      <w:r>
        <w:rPr/>
        <w:t xml:space="preserve">The district court in </w:t>
      </w:r>
      <w:r>
        <w:rPr>
          <w:i/>
        </w:rPr>
        <w:t>In re Unanue-Casal</w:t>
      </w:r>
      <w:r>
        <w:rPr/>
        <w:t>, 164 B.R. 216 (D.P.R. 1993), reiterated that the mere assertion of a counterclaim against a creditor who has filed a claim is not dispositive:</w:t>
      </w:r>
    </w:p>
    <w:p>
      <w:pPr>
        <w:pStyle w:val="BodyTextIndent"/>
        <w:rPr/>
      </w:pPr>
      <w:r>
        <w:rPr/>
        <w:t>“</w:t>
      </w:r>
      <w:r>
        <w:rPr/>
        <w:t>If an action would survive outside of bankruptcy, and in the absence of bankruptcy would have been initiated in a state or district court then it clearly involves a non-core matter.” . . .  “</w:t>
      </w:r>
      <w:r>
        <w:rPr>
          <w:b/>
          <w:i/>
        </w:rPr>
        <w:t xml:space="preserve">To merit classification as a core proceeding within the meaning of the statute, the nexus of the counterclaim itself ‘must be a ‘core’ proceeding as that term is used in section 157(b)(1); that is to say, it must arise under or arise in a case under Title 11.”  In other words, a debtor’s counterclaim “does not become ‘core’ simply because it is technically or arguable within a (b)(2) description.” </w:t>
      </w:r>
      <w:r>
        <w:rPr/>
        <w:t>. . .</w:t>
      </w:r>
      <w:r>
        <w:rPr>
          <w:b/>
          <w:i/>
        </w:rPr>
        <w:t xml:space="preserve"> </w:t>
      </w:r>
    </w:p>
    <w:p>
      <w:pPr>
        <w:pStyle w:val="BodyTextIndent"/>
        <w:rPr/>
      </w:pPr>
      <w:r>
        <w:rPr/>
        <w:t xml:space="preserve">. . . The mere fact that the Amended Counterclaim is raised in the form of a counterclaim against two parties that have filed contingent claims against the bankruptcy estate does not make it a core proceeding.  This view would so enlarge bankruptcy jurisdiction as to convert every state action involving a bankruptcy debtor into a federal matter. </w:t>
      </w:r>
    </w:p>
    <w:p>
      <w:pPr>
        <w:pStyle w:val="BodyText"/>
        <w:rPr/>
      </w:pPr>
      <w:r>
        <w:rPr/>
        <w:t>164 B.R. at 221 (emphasis added).</w:t>
      </w:r>
      <w:r>
        <w:rPr>
          <w:rStyle w:val="FootnoteCharacters"/>
          <w:rStyle w:val="FootnoteReference"/>
        </w:rPr>
        <w:footnoteReference w:id="3"/>
      </w:r>
      <w:r>
        <w:rPr/>
        <w:t xml:space="preserve">  Claims I and II would clearly survive outside the bankruptcy and in the absence of bankruptcy would have been initiated in state or district court.  As such, Claims I and II are clearly non-core proceedings.</w:t>
      </w:r>
    </w:p>
    <w:p>
      <w:pPr>
        <w:pStyle w:val="BodyText2"/>
        <w:rPr/>
      </w:pPr>
      <w:r>
        <w:rPr/>
        <w:t xml:space="preserve">Nor does the core status of Claims III and IV elevate Claims I and II to core proceedings.  The court in </w:t>
      </w:r>
      <w:r>
        <w:rPr>
          <w:i/>
        </w:rPr>
        <w:t>In re Best Reception Systems, Inc</w:t>
      </w:r>
      <w:r>
        <w:rPr/>
        <w:t>., 220 B.R. 932 (Bkrtcy. E.D. Tenn. 1998), recognized that the core status of some claims asserted in an adversary proceeding does not render all claims core:</w:t>
      </w:r>
    </w:p>
    <w:p>
      <w:pPr>
        <w:pStyle w:val="BodyTextIndent"/>
        <w:rPr>
          <w:b/>
          <w:i/>
          <w:i/>
        </w:rPr>
      </w:pPr>
      <w:r>
        <w:rPr/>
        <w:t xml:space="preserve">The use of the word “proceeding” in the core/non-core discussion must be narrower still [than the use of the words ‘bankruptcy proceeding’ or ‘adversary proceeding’].  The “proceeding” must refer to each cause of action or right of recovery pled. . . .  If the word “proceeding” referred to the entire action before the court, a party could bring a state law claim within the purview of the bankruptcy judge merely by adding another count to, say, a motion to set aside a preference.  This cannot be the case. Each claim must, on its own, satisfy the requirements of § 157(b).  </w:t>
      </w:r>
      <w:r>
        <w:rPr>
          <w:b/>
          <w:i/>
        </w:rPr>
        <w:t>A district court must scrutinize each count and each asserted right for relief to determine which ones were properly before the bankruptcy judge for final resolution and which ones must receive de novo review [by the district court]</w:t>
      </w:r>
      <w:r>
        <w:rPr/>
        <w:t>. . . .</w:t>
      </w:r>
    </w:p>
    <w:p>
      <w:pPr>
        <w:pStyle w:val="BodyText"/>
        <w:rPr/>
      </w:pPr>
      <w:r>
        <w:rPr/>
        <w:t>220 B.R. at 932 (emphasis added).</w:t>
      </w:r>
    </w:p>
    <w:p>
      <w:pPr>
        <w:pStyle w:val="BodyText2"/>
        <w:rPr/>
      </w:pPr>
      <w:r>
        <w:rPr/>
        <w:t xml:space="preserve">Ignoring the appropriate analysis articulated by </w:t>
      </w:r>
      <w:r>
        <w:rPr>
          <w:i/>
        </w:rPr>
        <w:t>Lacy</w:t>
      </w:r>
      <w:r>
        <w:rPr/>
        <w:t xml:space="preserve">, </w:t>
      </w:r>
      <w:r>
        <w:rPr>
          <w:i/>
        </w:rPr>
        <w:t>Yagow</w:t>
      </w:r>
      <w:r>
        <w:rPr/>
        <w:t xml:space="preserve">, and </w:t>
      </w:r>
      <w:r>
        <w:rPr>
          <w:i/>
        </w:rPr>
        <w:t>Unanue-Casal</w:t>
      </w:r>
      <w:r>
        <w:rPr/>
        <w:t xml:space="preserve">, the Trustee mischaracterizes a handful of cases in an attempt to support its position that all counterclaims to a proof of claim are core proceedings.  </w:t>
      </w:r>
      <w:r>
        <w:rPr>
          <w:i/>
        </w:rPr>
        <w:t>See</w:t>
      </w:r>
      <w:r>
        <w:rPr/>
        <w:t xml:space="preserve"> Response  at 8-9.  For example, the Trustee cites </w:t>
      </w:r>
      <w:r>
        <w:rPr>
          <w:i/>
        </w:rPr>
        <w:t>North American Energy Conservation, Inc. v. Interstate Energy Resources, Inc.</w:t>
      </w:r>
      <w:r>
        <w:rPr/>
        <w:t xml:space="preserve">, 2000 WL 1514614 (S.D.N.Y. 2000), for the proposition that a debtor’s counterclaims against a creditor with a proof of claim constitutes a core proceeding.  </w:t>
      </w:r>
      <w:r>
        <w:rPr>
          <w:i/>
        </w:rPr>
        <w:t>North American</w:t>
      </w:r>
      <w:r>
        <w:rPr/>
        <w:t xml:space="preserve">, however, did not even involve the issue of whether the </w:t>
      </w:r>
      <w:r>
        <w:rPr>
          <w:i/>
        </w:rPr>
        <w:t xml:space="preserve">debtor’s </w:t>
      </w:r>
      <w:r>
        <w:rPr/>
        <w:t xml:space="preserve">claim was a core proceeding as the parties agreed that it was non-core.  </w:t>
      </w:r>
      <w:r>
        <w:rPr>
          <w:i/>
        </w:rPr>
        <w:t>Id</w:t>
      </w:r>
      <w:r>
        <w:rPr/>
        <w:t xml:space="preserve">. at *2.  Rather, the issue was whether some of the defendant’s affirmative defenses constituted core proceedings.  </w:t>
      </w:r>
      <w:r>
        <w:rPr>
          <w:i/>
        </w:rPr>
        <w:t>Id.</w:t>
      </w:r>
      <w:r>
        <w:rPr/>
        <w:t xml:space="preserve">  In </w:t>
      </w:r>
      <w:r>
        <w:rPr>
          <w:i/>
        </w:rPr>
        <w:t>North American</w:t>
      </w:r>
      <w:r>
        <w:rPr/>
        <w:t xml:space="preserve">, the defendant (who had not filed a proof of claim) asserted setoff as an affirmative defense to the debtor’s adversary proceeding seeking to collect monies owed for various gas deliveries.  </w:t>
      </w:r>
      <w:r>
        <w:rPr>
          <w:i/>
        </w:rPr>
        <w:t>Id.</w:t>
      </w:r>
      <w:r>
        <w:rPr/>
        <w:t xml:space="preserve"> at *1.  The district court held that the defendant’s affirmative defense of setoff constituted a </w:t>
      </w:r>
      <w:r>
        <w:rPr>
          <w:i/>
        </w:rPr>
        <w:t>claim against the estate</w:t>
      </w:r>
      <w:r>
        <w:rPr/>
        <w:t xml:space="preserve">, and, as such, the setoff claim against the estate was a core proceeding.  </w:t>
      </w:r>
      <w:r>
        <w:rPr>
          <w:i/>
        </w:rPr>
        <w:t>Id.</w:t>
      </w:r>
      <w:r>
        <w:rPr/>
        <w:t xml:space="preserve"> at *2 (“by pleading setoffs in the form of ‘affirmative defenses’, Interstate has in fact asserted a claim against North America’s bankruptcy estate.”).  </w:t>
      </w:r>
    </w:p>
    <w:p>
      <w:pPr>
        <w:pStyle w:val="BodyText2"/>
        <w:rPr/>
      </w:pPr>
      <w:r>
        <w:rPr/>
        <w:t xml:space="preserve">The Trustee similarly misconstrues </w:t>
      </w:r>
      <w:r>
        <w:rPr>
          <w:i/>
        </w:rPr>
        <w:t>Pan American World Airways, Inc. v. Evergreen International Airlines</w:t>
      </w:r>
      <w:r>
        <w:rPr/>
        <w:t xml:space="preserve">, 132 B.R. 4 (S.D.N.Y. 1991).  In </w:t>
      </w:r>
      <w:r>
        <w:rPr>
          <w:i/>
        </w:rPr>
        <w:t>Pan American</w:t>
      </w:r>
      <w:r>
        <w:rPr/>
        <w:t xml:space="preserve">, the district court did not rule on whether the debtor’s counterclaims were core or non-core:  “[t]he determination whether a case is a core proceeding or a non-core matter related to a case under title 11 is made by the bankruptcy judge.”  </w:t>
      </w:r>
      <w:r>
        <w:rPr>
          <w:i/>
        </w:rPr>
        <w:t>Id</w:t>
      </w:r>
      <w:r>
        <w:rPr/>
        <w:t xml:space="preserve"> at 9 n.1.  Instead, the district court determined that the debtor’s counterclaims were, at a minimum, “related to” its bankruptcy case, which justified referring the adversary proceeding to the Bankruptcy Court.  </w:t>
      </w:r>
      <w:r>
        <w:rPr>
          <w:i/>
        </w:rPr>
        <w:t>Id</w:t>
      </w:r>
      <w:r>
        <w:rPr/>
        <w:t xml:space="preserve">. at 8.  Although the district court, in dicta, stated that the debtor’s counterclaims were core proceedings under section 157(b)(2)(c), it relied exclusively on the creditor’s description of the proof of claim it planned to file and did not undertake any independent analysis to determine whether the counterclaims were core counterclaims in relation to the debtor’s anticipated claim..  </w:t>
      </w:r>
      <w:r>
        <w:rPr>
          <w:i/>
        </w:rPr>
        <w:t>Id</w:t>
      </w:r>
      <w:r>
        <w:rPr/>
        <w:t>. at 7.</w:t>
      </w:r>
    </w:p>
    <w:p>
      <w:pPr>
        <w:pStyle w:val="BodyText2"/>
        <w:rPr/>
      </w:pPr>
      <w:r>
        <w:rPr/>
        <w:t xml:space="preserve">Most shocking of the Trustee’s mischaracterization of cases is its analysis of  </w:t>
      </w:r>
      <w:r>
        <w:rPr>
          <w:i/>
        </w:rPr>
        <w:t>In re Service Marine Industries, Inc.</w:t>
      </w:r>
      <w:r>
        <w:rPr/>
        <w:t xml:space="preserve">, 2000 WL 1673061 (E.D. La 2000) (creditor filed proof of claim based upon breach of contract then sought to compel arbitration of its breach of contract claim).  Nowhere did the bankruptcy court hold that a “creditor’s filing of a proof of claim converted the claim and any counter-claims thereto into a core bankruptcy proceeding . . . .”  </w:t>
      </w:r>
      <w:r>
        <w:rPr>
          <w:i/>
        </w:rPr>
        <w:t>See</w:t>
      </w:r>
      <w:r>
        <w:rPr/>
        <w:t xml:space="preserve"> Response at 12.  The case does not even address the core/non-core nature of counterclaims given that it involved the creditor’s proof of claim.  </w:t>
      </w:r>
      <w:r>
        <w:rPr>
          <w:i/>
        </w:rPr>
        <w:t>Service Marine</w:t>
      </w:r>
      <w:r>
        <w:rPr/>
        <w:t xml:space="preserve"> solely stands for the proposition that a creditor who files a proof of claim based upon breach of contract cannot then ask the bankruptcy court to compel arbitration of that claim.  </w:t>
      </w:r>
      <w:r>
        <w:rPr>
          <w:i/>
        </w:rPr>
        <w:t>Id</w:t>
      </w:r>
      <w:r>
        <w:rPr/>
        <w:t xml:space="preserve">. at 2.  </w:t>
      </w:r>
    </w:p>
    <w:p>
      <w:pPr>
        <w:pStyle w:val="StandardL1"/>
        <w:numPr>
          <w:ilvl w:val="0"/>
          <w:numId w:val="15"/>
        </w:numPr>
        <w:rPr/>
      </w:pPr>
      <w:r>
        <w:rPr/>
        <w:t>Claims I and II are Not Sufficiently Related to EPMI’s Proof of Claim to be Considered Core.</w:t>
      </w:r>
    </w:p>
    <w:p>
      <w:pPr>
        <w:pStyle w:val="BodyText2"/>
        <w:rPr/>
      </w:pPr>
      <w:r>
        <w:rPr/>
        <w:t xml:space="preserve">Claims I and II are based solely on state law, arose prior to the bankruptcy proceeding, and are not dependent upon any provision of the Bankruptcy Code.  Neither are Claims I and II sufficiently related to EPMI’s proof of claim to fall within the umbrella of “counterclaims” given core status.  EPMI’s proof of claim is based solely on PCA’s failure to pay for electricity sold in May, June, and early July 1998.  In challenging EPMI’s proof of claim, the Trustee does not allege that EPMI is not entitled to repayment for electricity delivered as a result of the Trust’s alleged breach of contract, but only challenges approximately $200,000 of EPMI’s $5.2 million claim.  </w:t>
      </w:r>
      <w:r>
        <w:rPr>
          <w:i/>
        </w:rPr>
        <w:t xml:space="preserve">See </w:t>
      </w:r>
      <w:r>
        <w:rPr/>
        <w:t xml:space="preserve">July  28, 2000 letter from Jane Parver </w:t>
      </w:r>
      <w:r>
        <w:rPr>
          <w:i/>
        </w:rPr>
        <w:t>and</w:t>
      </w:r>
      <w:r>
        <w:rPr/>
        <w:t xml:space="preserve"> ¶¶ __-__ of the Complaint, both of which are attached as Exhibits A and B.  </w:t>
      </w:r>
    </w:p>
    <w:p>
      <w:pPr>
        <w:pStyle w:val="BodyText2"/>
        <w:rPr/>
      </w:pPr>
      <w:r>
        <w:rPr/>
        <w:t xml:space="preserve">The only issues that this Court will have to determine in connection with EPMI’s proof of claim is whether EPMI delivered the electricity, how much electricity was delivered, and what the price of the electricity delivered was.  EPMI’s proof of claim is not dependent upon any determination of whether EPMI properly terminated the Master Agreement or whether the Trust, as successor to the Defaulting Party, can deprive EPMI of any benefit it may have received when it sold electricity in the market after the Transactions were terminated.  </w:t>
      </w:r>
    </w:p>
    <w:p>
      <w:pPr>
        <w:pStyle w:val="BodyText2"/>
        <w:rPr/>
      </w:pPr>
      <w:r>
        <w:rPr/>
        <w:t xml:space="preserve">Nor can the mere fact that the Trust’s breach of contract and unjust enrichment claims relate to the Master Agreement transform these claims to core proceedings.  In </w:t>
      </w:r>
      <w:r>
        <w:rPr>
          <w:i/>
        </w:rPr>
        <w:t>In re Martin Specialty Vehicles, Inc</w:t>
      </w:r>
      <w:r>
        <w:rPr/>
        <w:t xml:space="preserve">., 71 B.R. 221 (Bkrtcy. D. Mass. 1986), the bankruptcy court rejected plaintiffs’ attempt to transform non-core matters into core matters because they arose our of the same transaction or occurrence as the other causes of action that the court found to be core:  </w:t>
      </w:r>
    </w:p>
    <w:p>
      <w:pPr>
        <w:pStyle w:val="BodyTextIndent"/>
        <w:rPr/>
      </w:pPr>
      <w:r>
        <w:rPr/>
        <w:t xml:space="preserve">The causes of action for trespass, conversion, interference with advantageous business relations, and ch. 93A violations are state tort and state statutory claims owned by the debtors which became property of the estate. . . . The Plaintiffs argue that their relief for these transgressions is dependent on the Court’s disposition of the core proceedings in this case and therefore are “core” as well. We decline to adopt this theory. . . . </w:t>
      </w:r>
      <w:r>
        <w:rPr>
          <w:b/>
          <w:i/>
        </w:rPr>
        <w:t>Related proceedings do not become core proceedings solely by virtue of the fact that they arise out of the same transaction or occurrence as core proceedings</w:t>
      </w:r>
      <w:r>
        <w:rPr/>
        <w:t xml:space="preserve">.  </w:t>
      </w:r>
    </w:p>
    <w:p>
      <w:pPr>
        <w:pStyle w:val="BodyText"/>
        <w:rPr/>
      </w:pPr>
      <w:r>
        <w:rPr/>
        <w:t>71 B.R. at 224-225.</w:t>
      </w:r>
    </w:p>
    <w:p>
      <w:pPr>
        <w:pStyle w:val="BodyText2"/>
        <w:rPr/>
      </w:pPr>
      <w:r>
        <w:rPr/>
        <w:t>Further, EPMI’s claim is based solely on transactions and occurrences that took place before EPMI terminated the Transactions under the Master Agreement.  The Trustee’s claims are based on transactions and occurrences that only took place in connection with, or after, the Transactions were terminated.  The Trustee alleges that EPMI must return any benefit it may have received when it sold electricity that it would have otherwise delivered to PCA.  Leaving aside the utter lack of merit to such an argument, an analysis of what benefit EPMI received after the Transactions were terminated has no relationship to the amount due to EPMI for the electricity delivered prior to the termination.  Likewise, no relationship exists between the facts involved in Claims I and II and the Trust’s preference claims.  Without such a nexus, Claims I and II do not rise to the level of core proceedings.</w:t>
      </w:r>
    </w:p>
    <w:p>
      <w:pPr>
        <w:pStyle w:val="BodyText2"/>
        <w:rPr/>
      </w:pPr>
      <w:r>
        <w:rPr/>
        <w:t xml:space="preserve">The Trustee sheepishly admits only in a footnote that courts require “some connection between the claims of the creditor and those of the trustee” in order to find core status.  </w:t>
      </w:r>
      <w:r>
        <w:rPr>
          <w:i/>
        </w:rPr>
        <w:t>See</w:t>
      </w:r>
      <w:r>
        <w:rPr/>
        <w:t xml:space="preserve"> Response at 9 n.2 (quoting </w:t>
      </w:r>
      <w:r>
        <w:rPr>
          <w:i/>
        </w:rPr>
        <w:t>Lombard-Wall, Inc.</w:t>
      </w:r>
      <w:r>
        <w:rPr/>
        <w:t xml:space="preserve">, 48 B.R. 986, 991 (S.D.N.Y. 1985)).  As demonstrated above, Claims I and II are not sufficiently connected to EPMI’s proof of claim to warrant treating them as core proceedings, and the cases cited by the Trustee do not support such a finding.  In </w:t>
      </w:r>
      <w:r>
        <w:rPr>
          <w:i/>
        </w:rPr>
        <w:t>Lombard-Wall</w:t>
      </w:r>
      <w:r>
        <w:rPr/>
        <w:t xml:space="preserve">, the court determined that the proof of claim and the counterclaim required interpretation of the same agreement.  </w:t>
      </w:r>
      <w:r>
        <w:rPr>
          <w:i/>
        </w:rPr>
        <w:t>Id.</w:t>
      </w:r>
      <w:r>
        <w:rPr/>
        <w:t xml:space="preserve">  This Court, however, will not be required to interpret the Master Agreement to adjudicate EPMI’s proof of claim.  Similarly, in </w:t>
      </w:r>
      <w:r>
        <w:rPr>
          <w:i/>
        </w:rPr>
        <w:t>In re Depo</w:t>
      </w:r>
      <w:r>
        <w:rPr/>
        <w:t xml:space="preserve">, 40 B.R. 537 (N.D.N.Y. 1984), the court based its jurisdictional findings on the fact that “both parties’ claims arose out of Lincoln’s use of creditor’s remedies in the wake of a default of [the debtor].”  </w:t>
      </w:r>
      <w:r>
        <w:rPr>
          <w:i/>
        </w:rPr>
        <w:t>Id</w:t>
      </w:r>
      <w:r>
        <w:rPr/>
        <w:t>. at 543.  Here, Claims I and II may be based upon the use of creditor’s remedies (and whether EPMI was entitled to exercise those remedies) in the wake of PCA’s default, but those Claims are not at all connected to EPMI’s right to payment for electricity delivered prior to the termination of the Transactions.</w:t>
      </w:r>
    </w:p>
    <w:p>
      <w:pPr>
        <w:pStyle w:val="BodyText2"/>
        <w:rPr/>
      </w:pPr>
      <w:r>
        <w:rPr/>
        <w:t xml:space="preserve">Likewise, </w:t>
      </w:r>
      <w:r>
        <w:rPr>
          <w:i/>
        </w:rPr>
        <w:t>In re Baudoin</w:t>
      </w:r>
      <w:r>
        <w:rPr/>
        <w:t xml:space="preserve">, 981 F.2d 736 (5th Cir. 1993), does not support the Trustee’s argument that Claims I and II are core proceedings.  In </w:t>
      </w:r>
      <w:r>
        <w:rPr>
          <w:i/>
        </w:rPr>
        <w:t>Baudoin</w:t>
      </w:r>
      <w:r>
        <w:rPr/>
        <w:t xml:space="preserve">, the Fifth Circuit found that lender liability counterclaims to a bank’s proof of claim were core proceedings because those claims were based upon allegations that the bank’s actions forced the debtors into bankruptcy and breach of loan agreements.  </w:t>
      </w:r>
      <w:r>
        <w:rPr>
          <w:i/>
        </w:rPr>
        <w:t>Id</w:t>
      </w:r>
      <w:r>
        <w:rPr/>
        <w:t xml:space="preserve">. at 741-42.  The nexus between such lender liability claims (which presumably sought subordination of the bank’s claim at a minimum) and the allowance of that proof of claim is far greater than the relationship between EPMI’s proof of claims and the Trust’s breach of contract and unjust enrichment claims.  </w:t>
      </w:r>
    </w:p>
    <w:p>
      <w:pPr>
        <w:pStyle w:val="BodyText2"/>
        <w:rPr/>
      </w:pPr>
      <w:r>
        <w:rPr/>
        <w:t xml:space="preserve">The Trust’s breach of contract and unjust enrichment claims are garden-variety state court matters that exist totally outside of the bankruptcy context.  Indeed, all the cases cited by the Trustee in its attempt to articulate some basis for breach of contract and unjust enrichment are state law cases.  </w:t>
      </w:r>
      <w:r>
        <w:rPr>
          <w:i/>
        </w:rPr>
        <w:t>See</w:t>
      </w:r>
      <w:r>
        <w:rPr/>
        <w:t xml:space="preserve"> Response at p. ____.  The Trust has not articulated any basis that exists only in bankruptcy that supports its theories of recovery.  Indeed, Counts I and II mirror the kinds of counterclaims asserted in </w:t>
      </w:r>
      <w:r>
        <w:rPr>
          <w:i/>
        </w:rPr>
        <w:t xml:space="preserve">In re Lacy </w:t>
      </w:r>
      <w:r>
        <w:rPr/>
        <w:t>that the court determined were non-core:</w:t>
      </w:r>
    </w:p>
    <w:p>
      <w:pPr>
        <w:pStyle w:val="BodyTextIndent"/>
        <w:rPr/>
      </w:pPr>
      <w:r>
        <w:rPr/>
        <w:t>[A]ll of the claims asserted by the Reorganized Debtor arise out of pre-petition loan agreements between the Debtor and the F.D.I.C. and are state law contract and tort claims specifically breach of contract and bad faith.  Thus, the elements of the Complaint are not dependent upon the Bankruptcy Code for their existence.  Therefore, the within case is not a core proceeding.</w:t>
      </w:r>
    </w:p>
    <w:p>
      <w:pPr>
        <w:pStyle w:val="BodyText"/>
        <w:rPr/>
      </w:pPr>
      <w:r>
        <w:rPr/>
        <w:t>183 B.R. at 890.</w:t>
      </w:r>
    </w:p>
    <w:p>
      <w:pPr>
        <w:pStyle w:val="BodyText2"/>
        <w:rPr/>
      </w:pPr>
      <w:r>
        <w:rPr/>
        <w:t xml:space="preserve">Given that Claims I and II are non-core proceedings, this Court should compel arbitration.  As the Second Circuit made clear in </w:t>
      </w:r>
      <w:r>
        <w:rPr>
          <w:i/>
        </w:rPr>
        <w:t>In re Crysen/Montenay Energy Co.</w:t>
      </w:r>
      <w:r>
        <w:rPr/>
        <w:t>, 226 F.3d 160, 166 (2d Cir. 2000), “bankruptcy courts generally do not have discretion to decline to stay non-core proceedings in favor of arbitration . . . .</w:t>
      </w:r>
      <w:r>
        <w:rPr>
          <w:sz w:val="28"/>
        </w:rPr>
        <w:t>”</w:t>
      </w:r>
    </w:p>
    <w:p>
      <w:pPr>
        <w:pStyle w:val="StandardL1"/>
        <w:numPr>
          <w:ilvl w:val="0"/>
          <w:numId w:val="15"/>
        </w:numPr>
        <w:rPr/>
      </w:pPr>
      <w:r>
        <w:rPr/>
        <w:t>Claims I and II Should be Arbitrated Even If They are Core Proceedings.</w:t>
      </w:r>
    </w:p>
    <w:p>
      <w:pPr>
        <w:pStyle w:val="BodyText2"/>
        <w:rPr/>
      </w:pPr>
      <w:r>
        <w:rPr/>
        <w:t xml:space="preserve">Even if this Court were to determine that Claims I and II are core proceedings, the Court may still compel arbitration.  As the Second Circuit made clear in </w:t>
      </w:r>
      <w:r>
        <w:rPr>
          <w:i/>
        </w:rPr>
        <w:t>In re U.S. Lines</w:t>
      </w:r>
      <w:r>
        <w:rPr/>
        <w:t>, 197 F.3d 631 (2d Cir. 1999):</w:t>
      </w:r>
    </w:p>
    <w:p>
      <w:pPr>
        <w:pStyle w:val="BodyTextIndent"/>
        <w:rPr/>
      </w:pPr>
      <w:r>
        <w:rPr/>
        <w:t>a determination that a proceeding is core will not automatically give the bankruptcy court discretion to stay arbitration.  “Certainly not all core bankruptcy proceedings are premised on provisions of the Code that ‘inherently conflict’ with the Federal Arbitration Act; nor would arbitration of such proceedings necessarily jeopardize the objectives of the Bankruptcy Code. . . .</w:t>
      </w:r>
    </w:p>
    <w:p>
      <w:pPr>
        <w:pStyle w:val="BodyTextIndent"/>
        <w:rPr/>
      </w:pPr>
      <w:r>
        <w:rPr/>
        <w:t xml:space="preserve">In exercising its discretion over whether, in core proceedings, arbitration provisions ought to be denied effect, the bankruptcy court must still “carefully determine whether any underlying purpose of the Bankruptcy Code would be adversely affected by enforcing the arbitration clause.” . . .  </w:t>
      </w:r>
      <w:r>
        <w:rPr>
          <w:b/>
          <w:i/>
        </w:rPr>
        <w:t>The Arbitration Act as interpreted by the Supreme Court dictates that an arbitration clause should be enforced “unless [doing so] would seriously jeopardize the objectives of the Code.”</w:t>
      </w:r>
    </w:p>
    <w:p>
      <w:pPr>
        <w:pStyle w:val="BodyText"/>
        <w:rPr/>
      </w:pPr>
      <w:r>
        <w:rPr>
          <w:i/>
        </w:rPr>
        <w:t>Id</w:t>
      </w:r>
      <w:r>
        <w:rPr/>
        <w:t>. at 640 (emphasis added).</w:t>
      </w:r>
    </w:p>
    <w:p>
      <w:pPr>
        <w:pStyle w:val="BodyText2"/>
        <w:rPr/>
      </w:pPr>
      <w:r>
        <w:rPr/>
        <w:t xml:space="preserve">In this case, no objective of the Bankruptcy Code is implicated, let alone seriously jeopardized.  Unlike </w:t>
      </w:r>
      <w:r>
        <w:rPr>
          <w:i/>
        </w:rPr>
        <w:t>U.S. Lines</w:t>
      </w:r>
      <w:r>
        <w:rPr/>
        <w:t xml:space="preserve">, this case is not “integral to the bankruptcy court’s ability to preserve and equitably distribute the Trust’s assets.”  </w:t>
      </w:r>
      <w:r>
        <w:rPr>
          <w:i/>
        </w:rPr>
        <w:t>Id</w:t>
      </w:r>
      <w:r>
        <w:rPr/>
        <w:t xml:space="preserve">. at 641.  This case does not involve mass tort actions, thousands of claims, insurance policies and different insurers.  Claims I and II involve a two-party dispute of state law claims.  </w:t>
      </w:r>
    </w:p>
    <w:p>
      <w:pPr>
        <w:pStyle w:val="BodyText2"/>
        <w:rPr/>
      </w:pPr>
      <w:r>
        <w:rPr/>
        <w:t>The Trust relies heavily on the appointment of Judge Zampano as the Discovery Mediator to convince this Court not to compel arbitration.  Again, this reliance is misplaced.  First, although EPMI agreed to the appointment of a Discovery Mediator, EPMI preserved its right to arbitrate when it specifically advised this Court that its agreement was without prejudice to its right to arbitrate Claims I and II.  [Cite to Transcript.]  Second, this case can be ready for arbitration long before the November 2001 date included in Judge Zampano’s discovery schedule.  The issues in Claims I and II are much simpler than those of many of the other adversary proceedings.  Upon information and belief, the other defendants do not have clear payment defaults upon which they based their decision to terminate pending transactions with PCA.  In those adversary proceedings, this Court will be required to determine whether PCA was able to perform its ongoing obligations with its counter-parties, whether the defendants were entitled to request adequate assurance of future performance, and whether those requests for adequate assurance were reasonable.  Those issues are not relevant to EPMI as it based its termination on a clear payment default.  The issues relating to Claims I and II can be addressed by a summary adjudication and very little discovery will be needed in order to present these issues.</w:t>
      </w:r>
    </w:p>
    <w:p>
      <w:pPr>
        <w:pStyle w:val="StandardL1"/>
        <w:numPr>
          <w:ilvl w:val="0"/>
          <w:numId w:val="15"/>
        </w:numPr>
        <w:rPr/>
      </w:pPr>
      <w:r>
        <w:rPr/>
        <w:t>Claims I and II Fall Within the Scope of the Arbitration Clause.</w:t>
      </w:r>
    </w:p>
    <w:p>
      <w:pPr>
        <w:pStyle w:val="BodyText2"/>
        <w:rPr/>
      </w:pPr>
      <w:r>
        <w:rPr/>
        <w:t xml:space="preserve">Just as the Trustee mischaracterizes the law with regard to the core/non-core nature of counterclaims, the Trustee mischaracterizes the mandatory arbitration provision relating to the Termination Payment.  The Trustee repeatedly argues that the arbitration clause in Exhibit C relates solely to the “calculation” of the Termination Payment.  The Trustee, however, ignores the actual words used in the Master Agreement to define the scope of those matters subject to mandatory arbitration.  The mandatory arbitration provision contained in Exhibit C states:  “ANY DISPUTE </w:t>
      </w:r>
      <w:r>
        <w:rPr>
          <w:i/>
        </w:rPr>
        <w:t>OR NEED OF INTERPRETATION</w:t>
      </w:r>
      <w:r>
        <w:rPr/>
        <w:t xml:space="preserve"> ARISING OUT OF THIS AGREEMENT PERTAINING TO THE CALCULATION OF A TERMINATION PAYMENT . . . SHALL BE SUBMITTED TO BINDING ARBITRATION . . . .”  Master Agreement, Exhibit C (emphasis added), attached as Exhibit __ to EPMI’s Motion.</w:t>
      </w:r>
    </w:p>
    <w:p>
      <w:pPr>
        <w:pStyle w:val="BodyText2"/>
        <w:rPr/>
      </w:pPr>
      <w:r>
        <w:rPr/>
        <w:t xml:space="preserve">The Termination Payment only arises after termination based upon a default by one of the parties.  PCA defaulted, EPMI termination the pending Transactions under the Master Agreement, and calculated the Termination Payment, which resulted in PCA no owing any money to EPMI.  The “interpretation” of the Termination Payment includes whether a proper termination of the Transactions took place.  Likewise, whether the Trust is entitled to any recovery from EPMI other than through a Termination Payment requires an interpretation of the Termination Payment provision and whether, as a matter of law, this is the only remedy the parties are entitled to under the Master Agreement.  </w:t>
      </w:r>
    </w:p>
    <w:p>
      <w:pPr>
        <w:pStyle w:val="BodyText2"/>
        <w:rPr/>
      </w:pPr>
      <w:r>
        <w:rPr/>
        <w:t xml:space="preserve">More importantly, the very arbitration provision that the Trustee relies upon in its attempt to underscore the limited scope of the arbitration provision in section 4.2 supports EPMI’s argument that Claims I and II are subject to mandatory arbitration.  </w:t>
      </w:r>
      <w:r>
        <w:rPr>
          <w:i/>
        </w:rPr>
        <w:t>See</w:t>
      </w:r>
      <w:r>
        <w:rPr/>
        <w:t xml:space="preserve"> Response at 16.  Section 3.5 of the Master Agreement sets forth the damages provisions if either party fails to deliver or receive electricity under Firm Transactions if those Transactions have not been terminated under section 4.1.  The provisions of section 3.5 mirror the damage provisions contained in the Confirmation Letters, which the Trustee specifically relies upon in its Complaint in asking for over $11 million in damages under both breach of contract and unjust enrichment causes of action.  </w:t>
      </w:r>
      <w:r>
        <w:rPr>
          <w:i/>
        </w:rPr>
        <w:t>See</w:t>
      </w:r>
      <w:r>
        <w:rPr/>
        <w:t xml:space="preserve"> Complaint ¶¶ 15-16, 23-25, 31.  EPMI denies that section 3.5 applies because EPMI properly terminated the Transactions.  Whether section 3.5 applies is a “disagreement” included within the scope of section 3.5(c), and should be sent to arbitration.</w:t>
      </w:r>
    </w:p>
    <w:p>
      <w:pPr>
        <w:pStyle w:val="BodyText2"/>
        <w:rPr/>
      </w:pPr>
      <w:r>
        <w:rPr/>
        <w:t xml:space="preserve">The fact that the Trustee has labeled its claims breach of contract and unjust enrichment does not exclude those claims from the arbitration provisions of either sections 3.5 or 4.1:  “[i]f the facts underlying the claims touch matters covered by the arbitration clause, ‘those claims must be arbitrated whatever the legal labels attached to them.’”  </w:t>
      </w:r>
      <w:r>
        <w:rPr>
          <w:i/>
        </w:rPr>
        <w:t>Rivard Graphics Supply &amp; Equipment, Inc. v. Hull Printing Company, Inc.</w:t>
      </w:r>
      <w:r>
        <w:rPr/>
        <w:t>, 994 F.Supp. 118 (D. Conn. 1998)(involving a limited arbitration clause).  Whether EPMI failed to deliver power to PCA or whether EPMI properly terminated the Transaction, and the damages – if any – arising from either of those scenarios clearly involve facts underlying the claims covered by the arbitration clauses of sections 3.5 and 4.2 of the Master Agreement.</w:t>
      </w:r>
    </w:p>
    <w:p>
      <w:pPr>
        <w:pStyle w:val="StandardL1"/>
        <w:numPr>
          <w:ilvl w:val="0"/>
          <w:numId w:val="15"/>
        </w:numPr>
        <w:rPr/>
      </w:pPr>
      <w:r>
        <w:rPr/>
        <w:t>No Discovery Is Needed to Determine Intent of Arbitration Clause.</w:t>
      </w:r>
    </w:p>
    <w:p>
      <w:pPr>
        <w:pStyle w:val="BodyText2"/>
        <w:rPr/>
      </w:pPr>
      <w:r>
        <w:rPr/>
        <w:t xml:space="preserve">Given the undisputed breadth of the arbitration clause in section 3.5(c), arbitration should be compelled.  The Trustee asks for discovery in order to determine the parties’ intent of the scope of the arbitration provisions.  Discovery is neither necessary or warranted.  Any ambiguity relating to the scope of the arbitration clause must be resolved in favor of arbitration.  The strong federal policy favoring arbitration requires this Court to “construe arbitration clauses as broadly as possible” and resolve “any doubts concerning the scope of arbitrable issues . . . in favor of arbitration.”  </w:t>
      </w:r>
      <w:r>
        <w:rPr>
          <w:i/>
        </w:rPr>
        <w:t xml:space="preserve">Oldroyd v. Elmira Savings Bank, </w:t>
      </w:r>
      <w:r>
        <w:rPr/>
        <w:t xml:space="preserve">134 F.3d 72, 76 (2d Cir. 1998).  Moreover, “the existence of a broad agreement to arbitrate creates the presumption of arbitrability which is only overcome if it may be said with position assurance that the arbitration clause is not susceptible of an interpretation that [it] covers the asserted dispute.”  </w:t>
      </w:r>
      <w:r>
        <w:rPr>
          <w:i/>
        </w:rPr>
        <w:t>Id.</w:t>
      </w:r>
    </w:p>
    <w:p>
      <w:pPr>
        <w:pStyle w:val="BodyText2"/>
        <w:rPr/>
      </w:pPr>
      <w:r>
        <w:rPr/>
        <w:t>The Trustee has not come close to overcoming that strong presumption by establishing with positive assurance that sections 3.5 and 4.2 are not susceptible to an interpretation that excludes Claims I and II.  Therefore, no discovery is warranted.  Sections 3.5 and 4.2 are not ambiguous, and this Court should compel arbitration.</w:t>
      </w:r>
    </w:p>
    <w:p>
      <w:pPr>
        <w:pStyle w:val="Signature"/>
        <w:rPr/>
      </w:pPr>
      <w:r>
        <w:rPr/>
        <w:t>Respectfully submitted,</w:t>
      </w:r>
    </w:p>
    <w:p>
      <w:pPr>
        <w:pStyle w:val="Signature"/>
        <w:spacing w:before="0" w:after="600"/>
        <w:rPr/>
      </w:pPr>
      <w:r>
        <w:rPr/>
        <w:t>PULLMAN &amp; COMLEY, LLC</w:t>
      </w:r>
    </w:p>
    <w:p>
      <w:pPr>
        <w:pStyle w:val="Signature"/>
        <w:spacing w:before="0" w:after="0"/>
        <w:rPr/>
      </w:pPr>
      <w:r>
        <w:rPr/>
        <w:t>__________________________________</w:t>
      </w:r>
    </w:p>
    <w:p>
      <w:pPr>
        <w:pStyle w:val="Signature"/>
        <w:spacing w:before="0" w:after="0"/>
        <w:rPr/>
      </w:pPr>
      <w:r>
        <w:rPr/>
        <w:t>Elizabeth J. Austin (ct04384)</w:t>
      </w:r>
    </w:p>
    <w:p>
      <w:pPr>
        <w:pStyle w:val="Signature"/>
        <w:spacing w:before="0" w:after="0"/>
        <w:rPr/>
      </w:pPr>
      <w:r>
        <w:rPr/>
        <w:t>850 Main Street</w:t>
      </w:r>
    </w:p>
    <w:p>
      <w:pPr>
        <w:pStyle w:val="Signature"/>
        <w:spacing w:before="0" w:after="0"/>
        <w:rPr/>
      </w:pPr>
      <w:r>
        <w:rPr/>
        <w:t>P.O. Box 7006</w:t>
      </w:r>
    </w:p>
    <w:p>
      <w:pPr>
        <w:pStyle w:val="Signature"/>
        <w:spacing w:before="0" w:after="0"/>
        <w:rPr/>
      </w:pPr>
      <w:r>
        <w:rPr/>
        <w:t>Bridgeport, CT  06601-7006</w:t>
      </w:r>
    </w:p>
    <w:p>
      <w:pPr>
        <w:pStyle w:val="Signature"/>
        <w:spacing w:before="0" w:after="0"/>
        <w:rPr/>
      </w:pPr>
      <w:r>
        <w:rPr/>
        <w:t>Telephone:</w:t>
        <w:tab/>
        <w:t xml:space="preserve">(203) 330-2000 </w:t>
      </w:r>
    </w:p>
    <w:p>
      <w:pPr>
        <w:pStyle w:val="Signature"/>
        <w:spacing w:before="0" w:after="0"/>
        <w:rPr/>
      </w:pPr>
      <w:r>
        <w:rPr/>
        <w:t>Facsimile:</w:t>
        <w:tab/>
        <w:t xml:space="preserve">(203) 576-8888 </w:t>
      </w:r>
    </w:p>
    <w:p>
      <w:pPr>
        <w:pStyle w:val="Signature"/>
        <w:spacing w:before="0" w:after="0"/>
        <w:rPr/>
      </w:pPr>
      <w:r>
        <w:rPr/>
      </w:r>
    </w:p>
    <w:p>
      <w:pPr>
        <w:pStyle w:val="Signature"/>
        <w:tabs>
          <w:tab w:val="clear" w:pos="720"/>
          <w:tab w:val="center" w:pos="5760" w:leader="none"/>
        </w:tabs>
        <w:spacing w:before="0" w:after="0"/>
        <w:rPr/>
      </w:pPr>
      <w:r>
        <w:rPr/>
        <w:tab/>
        <w:t>– and –</w:t>
      </w:r>
    </w:p>
    <w:p>
      <w:pPr>
        <w:pStyle w:val="Signature"/>
        <w:tabs>
          <w:tab w:val="clear" w:pos="720"/>
          <w:tab w:val="center" w:pos="6480" w:leader="none"/>
        </w:tabs>
        <w:spacing w:before="0" w:after="0"/>
        <w:rPr/>
      </w:pPr>
      <w:r>
        <w:rPr/>
      </w:r>
    </w:p>
    <w:p>
      <w:pPr>
        <w:pStyle w:val="Signature"/>
        <w:spacing w:before="0" w:after="0"/>
        <w:rPr/>
      </w:pPr>
      <w:r>
        <w:rPr/>
        <w:t>WEIL, GOTSHAL &amp; MANGES LLP</w:t>
      </w:r>
    </w:p>
    <w:p>
      <w:pPr>
        <w:pStyle w:val="Signature"/>
        <w:spacing w:before="0" w:after="0"/>
        <w:rPr/>
      </w:pPr>
      <w:r>
        <w:rPr/>
        <w:t>Melanie Gray</w:t>
      </w:r>
    </w:p>
    <w:p>
      <w:pPr>
        <w:pStyle w:val="Signature"/>
        <w:spacing w:before="0" w:after="0"/>
        <w:rPr/>
      </w:pPr>
      <w:r>
        <w:rPr/>
        <w:t>700 Louisiana, Suite 1600</w:t>
      </w:r>
    </w:p>
    <w:p>
      <w:pPr>
        <w:pStyle w:val="Signature"/>
        <w:spacing w:before="0" w:after="0"/>
        <w:rPr/>
      </w:pPr>
      <w:r>
        <w:rPr/>
        <w:t>Houston, TX  77002</w:t>
      </w:r>
    </w:p>
    <w:p>
      <w:pPr>
        <w:pStyle w:val="Signature"/>
        <w:spacing w:before="0" w:after="0"/>
        <w:rPr/>
      </w:pPr>
      <w:r>
        <w:rPr/>
        <w:t>Telephone:</w:t>
        <w:tab/>
        <w:t>(713) 546-5000</w:t>
      </w:r>
    </w:p>
    <w:p>
      <w:pPr>
        <w:pStyle w:val="Signature"/>
        <w:spacing w:before="0" w:after="0"/>
        <w:rPr/>
      </w:pPr>
      <w:r>
        <w:rPr/>
        <w:t>Facsimile:</w:t>
        <w:tab/>
        <w:t>(713) 224-9511</w:t>
      </w:r>
    </w:p>
    <w:p>
      <w:pPr>
        <w:pStyle w:val="Signature"/>
        <w:spacing w:before="0" w:after="0"/>
        <w:rPr/>
      </w:pPr>
      <w:r>
        <w:rPr/>
      </w:r>
    </w:p>
    <w:p>
      <w:pPr>
        <w:pStyle w:val="Signature"/>
        <w:spacing w:before="0" w:after="0"/>
        <w:rPr/>
      </w:pPr>
      <w:r>
        <w:rPr/>
        <w:t>Counsel for Enron Power Marketing, Inc.</w:t>
      </w:r>
    </w:p>
    <w:p>
      <w:pPr>
        <w:pStyle w:val="Signature"/>
        <w:spacing w:before="0" w:after="0"/>
        <w:rPr/>
      </w:pPr>
      <w:r>
        <w:rPr/>
      </w:r>
      <w:r>
        <w:br w:type="page"/>
      </w:r>
    </w:p>
    <w:p>
      <w:pPr>
        <w:pStyle w:val="Signature"/>
        <w:spacing w:before="0" w:after="0"/>
        <w:rPr/>
      </w:pPr>
      <w:r>
        <w:rPr/>
      </w:r>
    </w:p>
    <w:p>
      <w:pPr>
        <w:pStyle w:val="Heading"/>
        <w:rPr>
          <w:u w:val="single"/>
        </w:rPr>
      </w:pPr>
      <w:r>
        <w:rPr>
          <w:u w:val="single"/>
        </w:rPr>
        <w:t>CERTIFICATE OF SERVICE</w:t>
      </w:r>
    </w:p>
    <w:p>
      <w:pPr>
        <w:pStyle w:val="BodyText2"/>
        <w:rPr/>
      </w:pPr>
      <w:r>
        <w:rPr/>
        <w:t>I hereby certify that a true and correct copy of the foregoing Enron Power Marketing, Inc.’s Reply in Support of its Motion to Compel Arbitration of Claims I and II was served on the following counsel of record via facsimile transmission and regular mail, postage prepaid on December ____, 2000.</w:t>
      </w:r>
    </w:p>
    <w:p>
      <w:pPr>
        <w:pStyle w:val="BodyTextIndent"/>
        <w:spacing w:before="0" w:after="0"/>
        <w:rPr/>
      </w:pPr>
      <w:r>
        <w:rPr/>
        <w:t>Craig I. Lifland, Esq.</w:t>
      </w:r>
    </w:p>
    <w:p>
      <w:pPr>
        <w:pStyle w:val="BodyTextIndent"/>
        <w:spacing w:before="0" w:after="0"/>
        <w:rPr/>
      </w:pPr>
      <w:r>
        <w:rPr/>
        <w:t>Zeisler &amp; Zeisler, P.C.</w:t>
      </w:r>
    </w:p>
    <w:p>
      <w:pPr>
        <w:pStyle w:val="BodyTextIndent"/>
        <w:spacing w:before="0" w:after="0"/>
        <w:rPr/>
      </w:pPr>
      <w:r>
        <w:rPr/>
        <w:t>558 Clinton Avenue</w:t>
      </w:r>
    </w:p>
    <w:p>
      <w:pPr>
        <w:pStyle w:val="BodyTextIndent"/>
        <w:spacing w:before="0" w:after="0"/>
        <w:rPr/>
      </w:pPr>
      <w:r>
        <w:rPr/>
        <w:t>P.O. Box 3186</w:t>
      </w:r>
    </w:p>
    <w:p>
      <w:pPr>
        <w:pStyle w:val="BodyTextIndent"/>
        <w:spacing w:before="0" w:after="0"/>
        <w:rPr/>
      </w:pPr>
      <w:r>
        <w:rPr/>
        <w:t>Bridgeport, CT  06605-1086</w:t>
      </w:r>
    </w:p>
    <w:p>
      <w:pPr>
        <w:pStyle w:val="BodyTextIndent"/>
        <w:spacing w:before="0" w:after="0"/>
        <w:rPr/>
      </w:pPr>
      <w:r>
        <w:rPr/>
        <w:t>(203) 368-4234</w:t>
      </w:r>
    </w:p>
    <w:p>
      <w:pPr>
        <w:pStyle w:val="BodyTextIndent"/>
        <w:spacing w:before="0" w:after="0"/>
        <w:rPr/>
      </w:pPr>
      <w:r>
        <w:rPr/>
        <w:t>Co Counsel for the PCA Liquidating Trust</w:t>
      </w:r>
    </w:p>
    <w:p>
      <w:pPr>
        <w:pStyle w:val="BodyTextIndent"/>
        <w:spacing w:before="0" w:after="0"/>
        <w:rPr/>
      </w:pPr>
      <w:r>
        <w:rPr/>
      </w:r>
    </w:p>
    <w:p>
      <w:pPr>
        <w:pStyle w:val="BodyTextIndent"/>
        <w:spacing w:before="0" w:after="0"/>
        <w:rPr/>
      </w:pPr>
      <w:r>
        <w:rPr/>
        <w:t>Herb S. Edelman</w:t>
      </w:r>
    </w:p>
    <w:p>
      <w:pPr>
        <w:pStyle w:val="BodyTextIndent"/>
        <w:spacing w:before="0" w:after="0"/>
        <w:rPr/>
      </w:pPr>
      <w:r>
        <w:rPr/>
        <w:t>Jane W. Parver</w:t>
      </w:r>
    </w:p>
    <w:p>
      <w:pPr>
        <w:pStyle w:val="BodyTextIndent"/>
        <w:spacing w:before="0" w:after="0"/>
        <w:rPr/>
      </w:pPr>
      <w:r>
        <w:rPr/>
        <w:t>Kay, Scholer, Fierman, Hays &amp; Handler, L.L.P.</w:t>
      </w:r>
    </w:p>
    <w:p>
      <w:pPr>
        <w:pStyle w:val="BodyTextIndent"/>
        <w:spacing w:before="0" w:after="0"/>
        <w:rPr/>
      </w:pPr>
      <w:r>
        <w:rPr/>
        <w:t>425 Park Avenue</w:t>
      </w:r>
    </w:p>
    <w:p>
      <w:pPr>
        <w:pStyle w:val="BodyTextIndent"/>
        <w:spacing w:before="0" w:after="0"/>
        <w:rPr/>
      </w:pPr>
      <w:r>
        <w:rPr/>
        <w:t>New York, NY  10022</w:t>
      </w:r>
    </w:p>
    <w:p>
      <w:pPr>
        <w:pStyle w:val="BodyTextIndent"/>
        <w:spacing w:before="0" w:after="0"/>
        <w:rPr/>
      </w:pPr>
      <w:r>
        <w:rPr/>
        <w:t>Co Counsel for the PCA Liquidating Trust</w:t>
      </w:r>
    </w:p>
    <w:p>
      <w:pPr>
        <w:pStyle w:val="BodyTextIndent"/>
        <w:spacing w:before="0" w:after="0"/>
        <w:ind w:start="2160" w:end="720"/>
        <w:rPr/>
      </w:pPr>
      <w:r>
        <w:rPr/>
      </w:r>
    </w:p>
    <w:p>
      <w:pPr>
        <w:pStyle w:val="BodyTextIndent"/>
        <w:spacing w:before="0" w:after="0"/>
        <w:ind w:start="2160" w:end="720"/>
        <w:rPr/>
      </w:pPr>
      <w:r>
        <w:rPr/>
      </w:r>
    </w:p>
    <w:p>
      <w:pPr>
        <w:pStyle w:val="BodyTextIndent"/>
        <w:spacing w:before="0" w:after="0"/>
        <w:ind w:start="2160" w:end="720"/>
        <w:rPr/>
      </w:pPr>
      <w:r>
        <w:rPr/>
      </w:r>
    </w:p>
    <w:p>
      <w:pPr>
        <w:pStyle w:val="BodyTextIndent"/>
        <w:spacing w:before="0" w:after="0"/>
        <w:ind w:start="2160" w:end="720"/>
        <w:rPr/>
      </w:pPr>
      <w:r>
        <w:rPr/>
      </w:r>
    </w:p>
    <w:p>
      <w:pPr>
        <w:pStyle w:val="Signature"/>
        <w:spacing w:before="0" w:after="0"/>
        <w:rPr/>
      </w:pPr>
      <w:r>
        <w:rPr/>
        <w:t>______________________________</w:t>
      </w:r>
    </w:p>
    <w:p>
      <w:pPr>
        <w:pStyle w:val="Signature"/>
        <w:spacing w:before="0" w:after="240"/>
        <w:rPr/>
      </w:pPr>
      <w:r>
        <w:rPr/>
        <w:t>Sheila Denton</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rPr>
        <w:rStyle w:val="TrailerWGM"/>
        <w:smallCaps/>
        <w:sz w:val="20"/>
      </w:rPr>
    </w:pPr>
    <w:r>
      <w:rPr>
        <w:smallCaps/>
        <w:sz w:val="20"/>
      </w:rPr>
      <w:t>Enron Power Marketing, Inc.’s Reply In</w:t>
      <w:br/>
    </w:r>
    <w:r>
      <w:rPr>
        <w:smallCaps/>
        <w:sz w:val="20"/>
        <w:u w:val="single"/>
      </w:rPr>
      <w:t>Support Of Its Motion To Compel Arbitration</w:t>
    </w:r>
    <w:r>
      <w:rPr>
        <w:smallCaps/>
        <w:sz w:val="20"/>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HO1:\218764\01\4_SS01!.DOC\43894.0003</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80" w:after="120"/>
      <w:rPr>
        <w:rStyle w:val="TrailerWGM"/>
        <w:smallCaps/>
        <w:sz w:val="20"/>
      </w:rPr>
    </w:pPr>
    <w:r>
      <w:rPr>
        <w:smallCaps/>
        <w:sz w:val="20"/>
      </w:rPr>
      <w:t>Enron Power Marketing, Inc.’s Reply In</w:t>
      <w:br/>
    </w:r>
    <w:r>
      <w:rPr>
        <w:smallCaps/>
        <w:sz w:val="20"/>
        <w:u w:val="single"/>
      </w:rPr>
      <w:t>Support Of Its Motion To Compel Arbitration</w:t>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HO1:\218764\01\4_SS01!.DOC\43894.0003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rPr/>
    </w:pPr>
    <w:r>
      <w:rPr>
        <w:smallCaps/>
        <w:sz w:val="20"/>
      </w:rPr>
      <w:t>Enron Power Marketing, Inc.’s Reply In</w:t>
      <w:br/>
    </w:r>
    <w:r>
      <w:rPr>
        <w:smallCaps/>
        <w:sz w:val="20"/>
        <w:u w:val="single"/>
      </w:rPr>
      <w:t>Support Of Its Motion To Compel Arbitration</w:t>
    </w:r>
    <w:r>
      <w:rPr>
        <w:smallCaps/>
        <w:sz w:val="20"/>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HO1:\218764\01\4_SS01!.DOC\43894.0003</w:t>
    </w:r>
    <w:r>
      <w:rPr>
        <w:rStyle w:val="TrailerWGM"/>
      </w:rPr>
      <w:fldChar w:fldCharType="end"/>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rPr>
        <w:rStyle w:val="TrailerWGM"/>
        <w:smallCaps/>
        <w:sz w:val="20"/>
      </w:rPr>
    </w:pPr>
    <w:r>
      <w:rPr>
        <w:smallCaps/>
        <w:sz w:val="20"/>
      </w:rPr>
      <w:t>Enron Power Marketing, Inc.’s Reply In</w:t>
      <w:br/>
    </w:r>
    <w:r>
      <w:rPr>
        <w:smallCaps/>
        <w:sz w:val="20"/>
        <w:u w:val="single"/>
      </w:rPr>
      <w:t>Support Of Its Motion To Compel Arbitration</w:t>
    </w:r>
    <w:r>
      <w:rPr>
        <w:smallCaps/>
        <w:sz w:val="20"/>
      </w:rPr>
      <w:t xml:space="preserve">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HO1:\218764\01\4_SS01!.DOC\43894.0003</w:t>
    </w:r>
    <w:r>
      <w:rPr>
        <w:rStyle w:val="TrailerWGM"/>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jc w:val="both"/>
        <w:rPr/>
      </w:pPr>
      <w:r>
        <w:rPr>
          <w:rStyle w:val="FootnoteCharacters"/>
        </w:rPr>
        <w:footnoteRef/>
      </w:r>
      <w:r>
        <w:rPr/>
        <w:tab/>
        <w:t xml:space="preserve">EPMI has admitted that the Trust’s preference claim (Claim III) is a core proceeding.  Likewise, EPMI has admitted that the Trust’s claim challenging the amount of EPMI’s claim and its entitlement to distributions pending resolution of the preference claim (Claim IV) is a core proceeding. </w:t>
      </w:r>
    </w:p>
  </w:footnote>
  <w:footnote w:id="3">
    <w:p>
      <w:pPr>
        <w:pStyle w:val="FootnoteText"/>
        <w:spacing w:before="0" w:after="240"/>
        <w:jc w:val="both"/>
        <w:rPr/>
      </w:pPr>
      <w:r>
        <w:rPr>
          <w:rStyle w:val="FootnoteCharacters"/>
        </w:rPr>
        <w:footnoteRef/>
      </w:r>
      <w:r>
        <w:rPr/>
        <w:t xml:space="preserve"> </w:t>
      </w:r>
      <w:r>
        <w:rPr/>
        <w:tab/>
        <w:t xml:space="preserve">Rejecting the same argument the Trustee makes in the case, the district court in </w:t>
      </w:r>
      <w:r>
        <w:rPr>
          <w:i/>
        </w:rPr>
        <w:t xml:space="preserve">Unanue-Casal </w:t>
      </w:r>
      <w:r>
        <w:rPr/>
        <w:t>held</w:t>
      </w:r>
      <w:r>
        <w:rPr>
          <w:i/>
        </w:rPr>
        <w:t xml:space="preserve"> </w:t>
      </w:r>
      <w:r>
        <w:rPr/>
        <w:t xml:space="preserve">that “[e]ven where the action ‘will drastically affect both the debtor-creditor relationship and the assets of the state’ it cannot be deemed a core proceeding if it arises prior to the bankruptcy filing and involves a right independent of and antecedent to the bankruptcy filing.”  </w:t>
      </w:r>
      <w:r>
        <w:rPr>
          <w:i/>
        </w:rPr>
        <w:t>Id</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rFonts w:ascii="Times New Roman" w:hAnsi="Times New Roman" w:cs="Times New Roman"/>
      <w:sz w:val="20"/>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lineRule="auto" w:line="480"/>
      <w:jc w:val="both"/>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jc w:val="both"/>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720"/>
      <w:jc w:val="both"/>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jc w:val="both"/>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0" w:start="1440" w:end="0"/>
      <w:jc w:val="both"/>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b/>
      <w:u w:val="single"/>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jc w:val="center"/>
    </w:pPr>
    <w:rPr/>
  </w:style>
  <w:style w:type="paragraph" w:styleId="StandardL1">
    <w:name w:val="Standard_L1"/>
    <w:basedOn w:val="Normal"/>
    <w:next w:val="NumContinue"/>
    <w:qFormat/>
    <w:pPr>
      <w:numPr>
        <w:ilvl w:val="0"/>
        <w:numId w:val="15"/>
      </w:numPr>
      <w:spacing w:before="0" w:after="240"/>
      <w:ind w:hanging="720" w:start="720" w:end="0"/>
      <w:jc w:val="both"/>
      <w:outlineLvl w:val="0"/>
    </w:pPr>
    <w:rPr>
      <w:b/>
      <w:u w:val="single"/>
    </w:rPr>
  </w:style>
  <w:style w:type="paragraph" w:styleId="StandardL2">
    <w:name w:val="Standard_L2"/>
    <w:basedOn w:val="StandardL1"/>
    <w:next w:val="NumContinue"/>
    <w:qFormat/>
    <w:pPr>
      <w:numPr>
        <w:ilvl w:val="0"/>
        <w:numId w:val="15"/>
      </w:numPr>
      <w:tabs>
        <w:tab w:val="clear" w:pos="720"/>
        <w:tab w:val="left" w:pos="1440" w:leader="none"/>
      </w:tabs>
      <w:outlineLvl w:val="1"/>
    </w:pPr>
    <w:rPr/>
  </w:style>
  <w:style w:type="paragraph" w:styleId="StandardL3">
    <w:name w:val="Standard_L3"/>
    <w:basedOn w:val="StandardL2"/>
    <w:next w:val="NumContinue"/>
    <w:qFormat/>
    <w:pPr>
      <w:numPr>
        <w:ilvl w:val="0"/>
        <w:numId w:val="15"/>
      </w:numPr>
      <w:tabs>
        <w:tab w:val="clear" w:pos="1440"/>
      </w:tabs>
      <w:outlineLvl w:val="2"/>
    </w:pPr>
    <w:rPr/>
  </w:style>
  <w:style w:type="paragraph" w:styleId="StandardL4">
    <w:name w:val="Standard_L4"/>
    <w:basedOn w:val="StandardL3"/>
    <w:next w:val="NumContinue"/>
    <w:qFormat/>
    <w:pPr>
      <w:numPr>
        <w:ilvl w:val="0"/>
        <w:numId w:val="15"/>
      </w:numPr>
      <w:tabs>
        <w:tab w:val="left" w:pos="2880" w:leader="none"/>
      </w:tabs>
      <w:outlineLvl w:val="3"/>
    </w:pPr>
    <w:rPr/>
  </w:style>
  <w:style w:type="paragraph" w:styleId="StandardL5">
    <w:name w:val="Standard_L5"/>
    <w:basedOn w:val="StandardL4"/>
    <w:next w:val="NumContinue"/>
    <w:qFormat/>
    <w:pPr>
      <w:numPr>
        <w:ilvl w:val="0"/>
        <w:numId w:val="15"/>
      </w:numPr>
      <w:tabs>
        <w:tab w:val="clear" w:pos="2880"/>
        <w:tab w:val="left" w:pos="3600" w:leader="none"/>
      </w:tabs>
      <w:outlineLvl w:val="4"/>
    </w:pPr>
    <w:rPr/>
  </w:style>
  <w:style w:type="paragraph" w:styleId="StandardL6">
    <w:name w:val="Standard_L6"/>
    <w:basedOn w:val="StandardL5"/>
    <w:next w:val="NumContinue"/>
    <w:qFormat/>
    <w:pPr>
      <w:numPr>
        <w:ilvl w:val="0"/>
        <w:numId w:val="15"/>
      </w:numPr>
      <w:tabs>
        <w:tab w:val="clear" w:pos="3600"/>
      </w:tabs>
      <w:outlineLvl w:val="5"/>
    </w:pPr>
    <w:rPr/>
  </w:style>
  <w:style w:type="paragraph" w:styleId="StandardL7">
    <w:name w:val="Standard_L7"/>
    <w:basedOn w:val="StandardL6"/>
    <w:next w:val="NumContinue"/>
    <w:qFormat/>
    <w:pPr>
      <w:numPr>
        <w:ilvl w:val="0"/>
        <w:numId w:val="15"/>
      </w:numPr>
      <w:tabs>
        <w:tab w:val="left" w:pos="5040" w:leader="none"/>
      </w:tabs>
      <w:outlineLvl w:val="6"/>
    </w:pPr>
    <w:rPr/>
  </w:style>
  <w:style w:type="paragraph" w:styleId="StandardL8">
    <w:name w:val="Standard_L8"/>
    <w:basedOn w:val="StandardL7"/>
    <w:next w:val="NumContinue"/>
    <w:qFormat/>
    <w:pPr>
      <w:numPr>
        <w:ilvl w:val="0"/>
        <w:numId w:val="15"/>
      </w:numPr>
      <w:tabs>
        <w:tab w:val="clear" w:pos="5040"/>
        <w:tab w:val="left" w:pos="5760" w:leader="none"/>
      </w:tabs>
      <w:outlineLvl w:val="7"/>
    </w:pPr>
    <w:rPr/>
  </w:style>
  <w:style w:type="paragraph" w:styleId="StandardL9">
    <w:name w:val="Standard_L9"/>
    <w:basedOn w:val="StandardL8"/>
    <w:next w:val="NumContinue"/>
    <w:qFormat/>
    <w:pPr>
      <w:numPr>
        <w:ilvl w:val="0"/>
        <w:numId w:val="15"/>
      </w:numPr>
      <w:tabs>
        <w:tab w:val="clear" w:pos="5760"/>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2000-12-04T13:19:00Z</dcterms:created>
  <dc:creator>MIS</dc:creator>
  <dc:description/>
  <cp:keywords>DocsOpen Name: #218764 v1 - reply to PCA response re motion to compel</cp:keywords>
  <dc:language>en-CA</dc:language>
  <cp:lastModifiedBy>MIS</cp:lastModifiedBy>
  <cp:lastPrinted>2000-12-05T12:01:00Z</cp:lastPrinted>
  <dcterms:modified xsi:type="dcterms:W3CDTF">2000-12-05T15:41:00Z</dcterms:modified>
  <cp:revision>42</cp:revision>
  <dc:subject>DocsOpen Loc:G:\DATA\HO1\GRAY\MEM\4_SS01!.DOC</dc:subject>
  <dc:title>Local: C:\MY DOCUMENTS\reply to PCA response to motion to compel.doc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HO1:\218764\01\4_SS01!.DOC\43894.0003</vt:lpwstr>
  </property>
</Properties>
</file>