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wmf" ContentType="image/x-wmf"/>
  <Override PartName="/word/styles.xml" ContentType="application/vnd.openxmlformats-officedocument.wordprocessingml.styles+xml"/>
  <Override PartName="/word/embeddings/oleObject1.pptx" ContentType="application/vnd.openxmlformats-officedocument.presentationml.presentation"/>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Fonts w:cs="Palatino" w:ascii="Palatino" w:hAnsi="Palatino"/>
          <w:b w:val="false"/>
          <w:bCs/>
          <w:sz w:val="28"/>
        </w:rPr>
        <w:t xml:space="preserve">Question </w:t>
      </w:r>
      <w:r>
        <w:rPr>
          <w:rFonts w:cs="Palatino" w:ascii="Palatino" w:hAnsi="Palatino"/>
          <w:b w:val="false"/>
          <w:bCs/>
          <w:sz w:val="28"/>
        </w:rPr>
        <w:t>4</w:t>
      </w:r>
    </w:p>
    <w:p>
      <w:pPr>
        <w:pStyle w:val="Heading1"/>
        <w:tabs>
          <w:tab w:val="clear" w:pos="720"/>
          <w:tab w:val="left" w:pos="1440" w:leader="none"/>
        </w:tabs>
        <w:ind w:hanging="0" w:start="0"/>
        <w:jc w:val="center"/>
        <w:rPr>
          <w:rFonts w:ascii="Palatino" w:hAnsi="Palatino" w:cs="Palatino"/>
          <w:b w:val="false"/>
          <w:bCs w:val="false"/>
          <w:sz w:val="28"/>
        </w:rPr>
      </w:pPr>
      <w:r>
        <w:rPr>
          <w:rFonts w:cs="Palatino" w:ascii="Palatino" w:hAnsi="Palatino"/>
          <w:b w:val="false"/>
          <w:bCs w:val="false"/>
          <w:sz w:val="28"/>
        </w:rPr>
      </w:r>
    </w:p>
    <w:p>
      <w:pPr>
        <w:pStyle w:val="Heading1"/>
        <w:tabs>
          <w:tab w:val="clear" w:pos="720"/>
          <w:tab w:val="left" w:pos="1440" w:leader="none"/>
        </w:tabs>
        <w:ind w:hanging="0" w:start="0"/>
        <w:jc w:val="center"/>
        <w:rPr>
          <w:rFonts w:ascii="Palatino" w:hAnsi="Palatino" w:cs="Palatino"/>
        </w:rPr>
      </w:pPr>
      <w:r>
        <w:rPr>
          <w:rFonts w:cs="Palatino" w:ascii="Palatino" w:hAnsi="Palatino"/>
        </w:rPr>
        <w:t>How Can You Participate in the New Electricity Market?</w:t>
      </w:r>
    </w:p>
    <w:p>
      <w:pPr>
        <w:pStyle w:val="Normal"/>
        <w:tabs>
          <w:tab w:val="clear" w:pos="720"/>
          <w:tab w:val="left" w:pos="1440" w:leader="none"/>
        </w:tabs>
        <w:rPr>
          <w:rFonts w:ascii="Palatino" w:hAnsi="Palatino" w:cs="Palatino"/>
        </w:rPr>
      </w:pPr>
      <w:r>
        <w:rPr>
          <w:rFonts w:cs="Palatino" w:ascii="Palatino" w:hAnsi="Palatino"/>
        </w:rPr>
      </w:r>
    </w:p>
    <w:p>
      <w:pPr>
        <w:pStyle w:val="Heading2"/>
        <w:tabs>
          <w:tab w:val="clear" w:pos="720"/>
          <w:tab w:val="left" w:pos="1440" w:leader="none"/>
        </w:tabs>
        <w:ind w:hanging="0" w:start="0"/>
        <w:rPr>
          <w:rFonts w:ascii="Palatino" w:hAnsi="Palatino" w:cs="Palatino"/>
          <w:sz w:val="28"/>
        </w:rPr>
      </w:pPr>
      <w:r>
        <w:rPr>
          <w:rFonts w:cs="Palatino" w:ascii="Palatino" w:hAnsi="Palatino"/>
          <w:sz w:val="28"/>
        </w:rPr>
        <w:t>New opportunities in a new market</w:t>
      </w:r>
    </w:p>
    <w:p>
      <w:pPr>
        <w:pStyle w:val="Normal"/>
        <w:tabs>
          <w:tab w:val="clear" w:pos="720"/>
          <w:tab w:val="left" w:pos="1440" w:leader="none"/>
        </w:tabs>
        <w:rPr>
          <w:rFonts w:ascii="Palatino" w:hAnsi="Palatino" w:cs="Palatino"/>
          <w:sz w:val="28"/>
        </w:rPr>
      </w:pPr>
      <w:r>
        <w:rPr>
          <w:rFonts w:cs="Palatino" w:ascii="Palatino" w:hAnsi="Palatino"/>
          <w:sz w:val="28"/>
        </w:rPr>
      </w:r>
    </w:p>
    <w:p>
      <w:pPr>
        <w:pStyle w:val="Normal"/>
        <w:tabs>
          <w:tab w:val="clear" w:pos="720"/>
          <w:tab w:val="left" w:pos="1440" w:leader="none"/>
        </w:tabs>
        <w:rPr>
          <w:rFonts w:ascii="Palatino" w:hAnsi="Palatino" w:cs="Palatino"/>
        </w:rPr>
      </w:pPr>
      <w:r>
        <w:rPr>
          <w:rFonts w:cs="Palatino" w:ascii="Palatino" w:hAnsi="Palatino"/>
        </w:rPr>
        <w:t>Japan is at the threshold of the creation of a dynamic new electricity market structure that will involve new business opportunities for existing utilities and opportunities for new businesses to enter the market.</w:t>
      </w:r>
    </w:p>
    <w:p>
      <w:pPr>
        <w:pStyle w:val="Normal"/>
        <w:tabs>
          <w:tab w:val="clear" w:pos="720"/>
          <w:tab w:val="left" w:pos="1440" w:leader="none"/>
        </w:tabs>
        <w:rPr>
          <w:rFonts w:ascii="Palatino" w:hAnsi="Palatino" w:cs="Palatino"/>
        </w:rPr>
      </w:pPr>
      <w:r>
        <w:rPr>
          <w:rFonts w:cs="Palatino" w:ascii="Palatino" w:hAnsi="Palatino"/>
        </w:rPr>
      </w:r>
    </w:p>
    <w:p>
      <w:pPr>
        <w:pStyle w:val="BodyText"/>
        <w:rPr>
          <w:b w:val="false"/>
          <w:bCs w:val="false"/>
          <w:lang w:eastAsia="ja-JP"/>
        </w:rPr>
      </w:pPr>
      <w:r>
        <w:rPr>
          <w:b w:val="false"/>
          <w:bCs w:val="false"/>
          <w:lang w:eastAsia="ja-JP"/>
        </w:rPr>
        <w:t xml:space="preserve">Japan commenced the first phase of deregulation of the </w:t>
      </w:r>
      <w:r>
        <w:rPr>
          <w:b w:val="false"/>
          <w:bCs w:val="false"/>
          <w:lang w:eastAsia="ja-JP"/>
        </w:rPr>
        <w:t>electricity</w:t>
      </w:r>
      <w:r>
        <w:rPr>
          <w:b w:val="false"/>
          <w:bCs w:val="false"/>
          <w:lang w:eastAsia="ja-JP"/>
        </w:rPr>
        <w:t xml:space="preserve"> sector in 1995 with a revision to the Electricity Utility Industry </w:t>
      </w:r>
      <w:r>
        <w:rPr>
          <w:b w:val="false"/>
          <w:bCs w:val="false"/>
          <w:lang w:eastAsia="ja-JP"/>
        </w:rPr>
        <w:t>Law that</w:t>
      </w:r>
      <w:r>
        <w:rPr>
          <w:b w:val="false"/>
          <w:bCs w:val="false"/>
          <w:lang w:eastAsia="ja-JP"/>
        </w:rPr>
        <w:t xml:space="preserve"> allowed wholesale independent power producers to participate in the market.  Since 1995 there have been four bidding rounds for power plant development by independent power producers, with mixed success.</w:t>
      </w:r>
    </w:p>
    <w:p>
      <w:pPr>
        <w:pStyle w:val="BodyText"/>
        <w:rPr>
          <w:b w:val="false"/>
          <w:bCs w:val="false"/>
          <w:lang w:eastAsia="ja-JP"/>
        </w:rPr>
      </w:pPr>
      <w:r>
        <w:rPr>
          <w:b w:val="false"/>
          <w:bCs w:val="false"/>
          <w:lang w:eastAsia="ja-JP"/>
        </w:rPr>
      </w:r>
    </w:p>
    <w:p>
      <w:pPr>
        <w:pStyle w:val="BodyText"/>
        <w:rPr>
          <w:b w:val="false"/>
          <w:bCs w:val="false"/>
          <w:lang w:eastAsia="ja-JP"/>
        </w:rPr>
      </w:pPr>
      <w:r>
        <w:rPr>
          <w:b w:val="false"/>
          <w:bCs w:val="false"/>
          <w:lang w:eastAsia="ja-JP"/>
        </w:rPr>
        <w:t xml:space="preserve">The second phase commenced in March 2000 with the introduction of retail competition.  From March 21, 2000 Japan opened retail sales to competition for large consumers (with a peak demand greater than 2000KW and which take electric </w:t>
      </w:r>
      <w:r>
        <w:rPr>
          <w:b w:val="false"/>
          <w:bCs w:val="false"/>
          <w:lang w:eastAsia="ja-JP"/>
        </w:rPr>
        <w:t>service</w:t>
      </w:r>
      <w:r>
        <w:rPr>
          <w:b w:val="false"/>
          <w:bCs w:val="false"/>
          <w:lang w:eastAsia="ja-JP"/>
        </w:rPr>
        <w:t xml:space="preserve"> at 20KV or higher).</w:t>
      </w:r>
    </w:p>
    <w:p>
      <w:pPr>
        <w:pStyle w:val="BodyText"/>
        <w:rPr>
          <w:b w:val="false"/>
          <w:bCs w:val="false"/>
          <w:lang w:eastAsia="ja-JP"/>
        </w:rPr>
      </w:pPr>
      <w:r>
        <w:rPr>
          <w:b w:val="false"/>
          <w:bCs w:val="false"/>
          <w:lang w:eastAsia="ja-JP"/>
        </w:rPr>
      </w:r>
    </w:p>
    <w:p>
      <w:pPr>
        <w:pStyle w:val="Normal"/>
        <w:tabs>
          <w:tab w:val="clear" w:pos="720"/>
          <w:tab w:val="left" w:pos="1440" w:leader="none"/>
        </w:tabs>
        <w:rPr>
          <w:rFonts w:ascii="Palatino" w:hAnsi="Palatino" w:cs="Palatino"/>
        </w:rPr>
      </w:pPr>
      <w:r>
        <w:rPr>
          <w:rFonts w:cs="Palatino" w:ascii="Palatino" w:hAnsi="Palatino"/>
        </w:rPr>
        <w:t>The old electricity market was characterized by vertically integrated utilities dealing with all aspects of energy supply.  Under the new market structure businesses can focus on what they do best and outsource non-core activities to others.</w:t>
      </w:r>
    </w:p>
    <w:p>
      <w:pPr>
        <w:pStyle w:val="Normal"/>
        <w:tabs>
          <w:tab w:val="clear" w:pos="720"/>
          <w:tab w:val="left" w:pos="1440" w:leader="none"/>
        </w:tabs>
        <w:rPr>
          <w:rFonts w:ascii="Palatino" w:hAnsi="Palatino" w:cs="Palatino"/>
        </w:rPr>
      </w:pPr>
      <w:r>
        <w:rPr>
          <w:rFonts w:cs="Palatino" w:ascii="Palatino" w:hAnsi="Palatino"/>
        </w:rPr>
      </w:r>
    </w:p>
    <w:p>
      <w:pPr>
        <w:pStyle w:val="Normal"/>
        <w:tabs>
          <w:tab w:val="clear" w:pos="720"/>
          <w:tab w:val="left" w:pos="1440" w:leader="none"/>
        </w:tabs>
        <w:rPr>
          <w:rFonts w:ascii="Palatino" w:hAnsi="Palatino" w:cs="Palatino"/>
          <w:b/>
          <w:bCs/>
        </w:rPr>
      </w:pPr>
      <w:r>
        <w:rPr>
          <w:rFonts w:cs="Palatino" w:ascii="Palatino" w:hAnsi="Palatino"/>
          <w:b/>
          <w:bCs/>
        </w:rPr>
        <w:t>[More on physical characteristics of the market.]</w:t>
      </w:r>
    </w:p>
    <w:p>
      <w:pPr>
        <w:pStyle w:val="BodyText"/>
        <w:rPr>
          <w:b w:val="false"/>
          <w:bCs w:val="false"/>
          <w:lang w:eastAsia="ja-JP"/>
        </w:rPr>
      </w:pPr>
      <w:r>
        <w:rPr>
          <w:sz w:val="23"/>
          <w:szCs w:val="23"/>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0pt;height:339.1pt" filled="f" o:ole="">
            <v:imagedata r:id="rId3" o:title=""/>
          </v:shape>
          <o:OLEObject Type="Embed" ProgID="PowerPoint.Show.12" ShapeID="ole_rId2" DrawAspect="Content" ObjectID="_594989102" r:id="rId2"/>
        </w:object>
      </w:r>
    </w:p>
    <w:p>
      <w:pPr>
        <w:pStyle w:val="Normal"/>
        <w:rPr>
          <w:rFonts w:ascii="Palatino" w:hAnsi="Palatino" w:cs="Palatino"/>
          <w:b/>
          <w:bCs/>
        </w:rPr>
      </w:pPr>
      <w:r>
        <w:rPr>
          <w:rFonts w:cs="Palatino" w:ascii="Palatino" w:hAnsi="Palatino"/>
          <w:b/>
          <w:bCs/>
        </w:rPr>
        <w:t>The new model includes:</w:t>
      </w:r>
    </w:p>
    <w:p>
      <w:pPr>
        <w:pStyle w:val="Normal"/>
        <w:rPr>
          <w:rFonts w:ascii="Palatino" w:hAnsi="Palatino" w:cs="Palatino"/>
          <w:b/>
          <w:bCs/>
        </w:rPr>
      </w:pPr>
      <w:r>
        <w:rPr>
          <w:rFonts w:cs="Palatino" w:ascii="Palatino" w:hAnsi="Palatino"/>
          <w:b/>
          <w:bCs/>
        </w:rPr>
      </w:r>
    </w:p>
    <w:p>
      <w:pPr>
        <w:pStyle w:val="Normal"/>
        <w:numPr>
          <w:ilvl w:val="0"/>
          <w:numId w:val="7"/>
        </w:numPr>
        <w:rPr>
          <w:rFonts w:ascii="Palatino" w:hAnsi="Palatino" w:cs="Palatino"/>
        </w:rPr>
      </w:pPr>
      <w:r>
        <w:rPr>
          <w:rFonts w:cs="Palatino" w:ascii="Palatino" w:hAnsi="Palatino"/>
        </w:rPr>
        <w:t>Market managers</w:t>
      </w:r>
    </w:p>
    <w:p>
      <w:pPr>
        <w:pStyle w:val="Normal"/>
        <w:numPr>
          <w:ilvl w:val="0"/>
          <w:numId w:val="7"/>
        </w:numPr>
        <w:rPr>
          <w:rFonts w:ascii="Palatino" w:hAnsi="Palatino" w:cs="Palatino"/>
        </w:rPr>
      </w:pPr>
      <w:r>
        <w:rPr>
          <w:rFonts w:cs="Palatino" w:ascii="Palatino" w:hAnsi="Palatino"/>
        </w:rPr>
        <w:t>Generators</w:t>
      </w:r>
    </w:p>
    <w:p>
      <w:pPr>
        <w:pStyle w:val="Normal"/>
        <w:numPr>
          <w:ilvl w:val="0"/>
          <w:numId w:val="2"/>
        </w:numPr>
        <w:tabs>
          <w:tab w:val="clear" w:pos="720"/>
          <w:tab w:val="left" w:pos="1260" w:leader="none"/>
        </w:tabs>
        <w:ind w:hanging="360" w:start="1440" w:end="0"/>
        <w:rPr>
          <w:rFonts w:ascii="Palatino" w:hAnsi="Palatino" w:cs="Palatino"/>
        </w:rPr>
      </w:pPr>
      <w:r>
        <w:rPr>
          <w:rFonts w:cs="Palatino" w:ascii="Palatino" w:hAnsi="Palatino"/>
        </w:rPr>
        <w:t>investor owned utilities</w:t>
      </w:r>
    </w:p>
    <w:p>
      <w:pPr>
        <w:pStyle w:val="Normal"/>
        <w:numPr>
          <w:ilvl w:val="0"/>
          <w:numId w:val="2"/>
        </w:numPr>
        <w:tabs>
          <w:tab w:val="clear" w:pos="720"/>
          <w:tab w:val="left" w:pos="1260" w:leader="none"/>
          <w:tab w:val="left" w:pos="1800" w:leader="none"/>
        </w:tabs>
        <w:ind w:hanging="360" w:start="1440" w:end="0"/>
        <w:rPr>
          <w:rFonts w:ascii="Palatino" w:hAnsi="Palatino" w:cs="Palatino"/>
        </w:rPr>
      </w:pPr>
      <w:r>
        <w:rPr>
          <w:rFonts w:cs="Palatino" w:ascii="Palatino" w:hAnsi="Palatino"/>
        </w:rPr>
        <w:t>IPPs</w:t>
      </w:r>
    </w:p>
    <w:p>
      <w:pPr>
        <w:pStyle w:val="Normal"/>
        <w:numPr>
          <w:ilvl w:val="0"/>
          <w:numId w:val="2"/>
        </w:numPr>
        <w:tabs>
          <w:tab w:val="clear" w:pos="720"/>
          <w:tab w:val="left" w:pos="1260" w:leader="none"/>
          <w:tab w:val="left" w:pos="1800" w:leader="none"/>
        </w:tabs>
        <w:ind w:hanging="360" w:start="1440" w:end="0"/>
        <w:rPr>
          <w:rFonts w:ascii="Palatino" w:hAnsi="Palatino" w:cs="Palatino"/>
        </w:rPr>
      </w:pPr>
      <w:r>
        <w:rPr>
          <w:rFonts w:cs="Palatino" w:ascii="Palatino" w:hAnsi="Palatino"/>
        </w:rPr>
        <w:t>co generators</w:t>
      </w:r>
    </w:p>
    <w:p>
      <w:pPr>
        <w:pStyle w:val="Normal"/>
        <w:numPr>
          <w:ilvl w:val="0"/>
          <w:numId w:val="2"/>
        </w:numPr>
        <w:tabs>
          <w:tab w:val="clear" w:pos="720"/>
          <w:tab w:val="left" w:pos="1260" w:leader="none"/>
          <w:tab w:val="left" w:pos="1800" w:leader="none"/>
        </w:tabs>
        <w:ind w:hanging="360" w:start="1440" w:end="0"/>
        <w:rPr>
          <w:rFonts w:ascii="Palatino" w:hAnsi="Palatino" w:cs="Palatino"/>
        </w:rPr>
      </w:pPr>
      <w:r>
        <w:rPr>
          <w:rFonts w:cs="Palatino" w:ascii="Palatino" w:hAnsi="Palatino"/>
        </w:rPr>
        <w:t>merchant plants</w:t>
      </w:r>
    </w:p>
    <w:p>
      <w:pPr>
        <w:pStyle w:val="Normal"/>
        <w:tabs>
          <w:tab w:val="clear" w:pos="720"/>
          <w:tab w:val="left" w:pos="1800" w:leader="none"/>
        </w:tabs>
        <w:ind w:start="1080" w:end="0"/>
        <w:rPr>
          <w:rFonts w:ascii="Palatino" w:hAnsi="Palatino" w:cs="Palatino"/>
        </w:rPr>
      </w:pPr>
      <w:r>
        <w:rPr>
          <w:rFonts w:cs="Palatino" w:ascii="Palatino" w:hAnsi="Palatino"/>
        </w:rPr>
      </w:r>
    </w:p>
    <w:p>
      <w:pPr>
        <w:pStyle w:val="Normal"/>
        <w:numPr>
          <w:ilvl w:val="3"/>
          <w:numId w:val="2"/>
        </w:numPr>
        <w:tabs>
          <w:tab w:val="clear" w:pos="720"/>
          <w:tab w:val="left" w:pos="360" w:leader="none"/>
        </w:tabs>
        <w:ind w:hanging="1440" w:start="1440" w:end="0"/>
        <w:rPr>
          <w:rFonts w:ascii="Palatino" w:hAnsi="Palatino" w:cs="Palatino"/>
        </w:rPr>
      </w:pPr>
      <w:r>
        <w:rPr>
          <w:rFonts w:cs="Palatino" w:ascii="Palatino" w:hAnsi="Palatino"/>
        </w:rPr>
        <w:t>Wholesale power marketers</w:t>
      </w:r>
    </w:p>
    <w:p>
      <w:pPr>
        <w:pStyle w:val="Normal"/>
        <w:numPr>
          <w:ilvl w:val="0"/>
          <w:numId w:val="2"/>
        </w:numPr>
        <w:tabs>
          <w:tab w:val="clear" w:pos="720"/>
          <w:tab w:val="left" w:pos="1260" w:leader="none"/>
        </w:tabs>
        <w:ind w:hanging="360" w:start="1440" w:end="0"/>
        <w:rPr>
          <w:rFonts w:ascii="Palatino" w:hAnsi="Palatino" w:cs="Palatino"/>
        </w:rPr>
      </w:pPr>
      <w:r>
        <w:rPr>
          <w:rFonts w:cs="Palatino" w:ascii="Palatino" w:hAnsi="Palatino"/>
        </w:rPr>
        <w:t>utilities</w:t>
      </w:r>
    </w:p>
    <w:p>
      <w:pPr>
        <w:pStyle w:val="Normal"/>
        <w:numPr>
          <w:ilvl w:val="0"/>
          <w:numId w:val="2"/>
        </w:numPr>
        <w:tabs>
          <w:tab w:val="clear" w:pos="720"/>
          <w:tab w:val="left" w:pos="1260" w:leader="none"/>
        </w:tabs>
        <w:ind w:hanging="360" w:start="1440" w:end="0"/>
        <w:rPr>
          <w:rFonts w:ascii="Palatino" w:hAnsi="Palatino" w:cs="Palatino"/>
        </w:rPr>
      </w:pPr>
      <w:r>
        <w:rPr>
          <w:rFonts w:cs="Palatino" w:ascii="Palatino" w:hAnsi="Palatino"/>
        </w:rPr>
        <w:t>marketers</w:t>
      </w:r>
    </w:p>
    <w:p>
      <w:pPr>
        <w:pStyle w:val="Normal"/>
        <w:numPr>
          <w:ilvl w:val="0"/>
          <w:numId w:val="2"/>
        </w:numPr>
        <w:tabs>
          <w:tab w:val="clear" w:pos="720"/>
          <w:tab w:val="left" w:pos="1260" w:leader="none"/>
        </w:tabs>
        <w:ind w:hanging="360" w:start="1440" w:end="0"/>
        <w:rPr>
          <w:rFonts w:ascii="Palatino" w:hAnsi="Palatino" w:cs="Palatino"/>
        </w:rPr>
      </w:pPr>
      <w:r>
        <w:rPr>
          <w:rFonts w:cs="Palatino" w:ascii="Palatino" w:hAnsi="Palatino"/>
        </w:rPr>
        <w:t>aggregators</w:t>
      </w:r>
    </w:p>
    <w:p>
      <w:pPr>
        <w:pStyle w:val="Normal"/>
        <w:numPr>
          <w:ilvl w:val="0"/>
          <w:numId w:val="2"/>
        </w:numPr>
        <w:tabs>
          <w:tab w:val="clear" w:pos="720"/>
          <w:tab w:val="left" w:pos="1260" w:leader="none"/>
        </w:tabs>
        <w:ind w:hanging="360" w:start="1440" w:end="0"/>
        <w:rPr>
          <w:rFonts w:ascii="Palatino" w:hAnsi="Palatino" w:cs="Palatino"/>
        </w:rPr>
      </w:pPr>
      <w:r>
        <w:rPr>
          <w:rFonts w:cs="Palatino" w:ascii="Palatino" w:hAnsi="Palatino"/>
        </w:rPr>
        <w:t>exchanges</w:t>
      </w:r>
    </w:p>
    <w:p>
      <w:pPr>
        <w:pStyle w:val="Normal"/>
        <w:rPr>
          <w:rFonts w:ascii="Palatino" w:hAnsi="Palatino" w:cs="Palatino"/>
        </w:rPr>
      </w:pPr>
      <w:r>
        <w:rPr>
          <w:rFonts w:cs="Palatino" w:ascii="Palatino" w:hAnsi="Palatino"/>
        </w:rPr>
      </w:r>
    </w:p>
    <w:p>
      <w:pPr>
        <w:pStyle w:val="Normal"/>
        <w:numPr>
          <w:ilvl w:val="3"/>
          <w:numId w:val="2"/>
        </w:numPr>
        <w:tabs>
          <w:tab w:val="clear" w:pos="720"/>
          <w:tab w:val="left" w:pos="360" w:leader="none"/>
        </w:tabs>
        <w:ind w:hanging="1440" w:start="1440" w:end="0"/>
        <w:rPr>
          <w:rFonts w:ascii="Palatino" w:hAnsi="Palatino" w:cs="Palatino"/>
        </w:rPr>
      </w:pPr>
      <w:r>
        <w:rPr>
          <w:rFonts w:cs="Palatino" w:ascii="Palatino" w:hAnsi="Palatino"/>
        </w:rPr>
        <w:t>Retail sellers and buyers</w:t>
      </w:r>
    </w:p>
    <w:p>
      <w:pPr>
        <w:pStyle w:val="Normal"/>
        <w:rPr>
          <w:rFonts w:ascii="Palatino" w:hAnsi="Palatino" w:cs="Palatino"/>
        </w:rPr>
      </w:pPr>
      <w:r>
        <w:rPr>
          <w:rFonts w:cs="Palatino" w:ascii="Palatino" w:hAnsi="Palatino"/>
        </w:rPr>
      </w:r>
    </w:p>
    <w:p>
      <w:pPr>
        <w:pStyle w:val="Normal"/>
        <w:numPr>
          <w:ilvl w:val="3"/>
          <w:numId w:val="2"/>
        </w:numPr>
        <w:tabs>
          <w:tab w:val="clear" w:pos="720"/>
          <w:tab w:val="left" w:pos="360" w:leader="none"/>
        </w:tabs>
        <w:ind w:hanging="1440" w:start="1440" w:end="0"/>
        <w:rPr>
          <w:rFonts w:ascii="Palatino" w:hAnsi="Palatino" w:cs="Palatino"/>
        </w:rPr>
      </w:pPr>
      <w:r>
        <w:rPr>
          <w:rFonts w:cs="Palatino" w:ascii="Palatino" w:hAnsi="Palatino"/>
        </w:rPr>
        <w:t>Energy and facility managers and consultants</w:t>
      </w:r>
    </w:p>
    <w:p>
      <w:pPr>
        <w:pStyle w:val="Normal"/>
        <w:numPr>
          <w:ilvl w:val="0"/>
          <w:numId w:val="2"/>
        </w:numPr>
        <w:tabs>
          <w:tab w:val="clear" w:pos="720"/>
          <w:tab w:val="left" w:pos="1260" w:leader="none"/>
        </w:tabs>
        <w:ind w:hanging="180" w:start="1260" w:end="0"/>
        <w:rPr>
          <w:rFonts w:ascii="Palatino" w:hAnsi="Palatino" w:cs="Palatino"/>
        </w:rPr>
      </w:pPr>
      <w:r>
        <w:rPr>
          <w:rFonts w:cs="Palatino" w:ascii="Palatino" w:hAnsi="Palatino"/>
        </w:rPr>
        <w:t>commodity managers</w:t>
      </w:r>
    </w:p>
    <w:p>
      <w:pPr>
        <w:pStyle w:val="Normal"/>
        <w:numPr>
          <w:ilvl w:val="0"/>
          <w:numId w:val="2"/>
        </w:numPr>
        <w:tabs>
          <w:tab w:val="clear" w:pos="720"/>
          <w:tab w:val="left" w:pos="1260" w:leader="none"/>
        </w:tabs>
        <w:ind w:hanging="180" w:start="1260" w:end="0"/>
        <w:rPr>
          <w:rFonts w:ascii="Palatino" w:hAnsi="Palatino" w:cs="Palatino"/>
        </w:rPr>
      </w:pPr>
      <w:r>
        <w:rPr>
          <w:rFonts w:cs="Palatino" w:ascii="Palatino" w:hAnsi="Palatino"/>
        </w:rPr>
        <w:t>asset managers</w:t>
      </w:r>
    </w:p>
    <w:p>
      <w:pPr>
        <w:pStyle w:val="Normal"/>
        <w:numPr>
          <w:ilvl w:val="0"/>
          <w:numId w:val="2"/>
        </w:numPr>
        <w:tabs>
          <w:tab w:val="clear" w:pos="720"/>
          <w:tab w:val="left" w:pos="1260" w:leader="none"/>
        </w:tabs>
        <w:ind w:hanging="180" w:start="1260" w:end="0"/>
        <w:rPr>
          <w:rFonts w:ascii="Palatino" w:hAnsi="Palatino" w:cs="Palatino"/>
        </w:rPr>
      </w:pPr>
      <w:r>
        <w:rPr>
          <w:rFonts w:cs="Palatino" w:ascii="Palatino" w:hAnsi="Palatino"/>
        </w:rPr>
        <w:t>facilities managers</w:t>
      </w:r>
    </w:p>
    <w:p>
      <w:pPr>
        <w:pStyle w:val="Normal"/>
        <w:numPr>
          <w:ilvl w:val="0"/>
          <w:numId w:val="2"/>
        </w:numPr>
        <w:tabs>
          <w:tab w:val="clear" w:pos="720"/>
          <w:tab w:val="left" w:pos="1260" w:leader="none"/>
        </w:tabs>
        <w:ind w:hanging="180" w:start="1260" w:end="0"/>
        <w:rPr>
          <w:rFonts w:ascii="Palatino" w:hAnsi="Palatino" w:cs="Palatino"/>
        </w:rPr>
      </w:pPr>
      <w:r>
        <w:rPr>
          <w:rFonts w:cs="Palatino" w:ascii="Palatino" w:hAnsi="Palatino"/>
        </w:rPr>
        <w:t>capital managers</w:t>
      </w:r>
    </w:p>
    <w:p>
      <w:pPr>
        <w:pStyle w:val="Normal"/>
        <w:numPr>
          <w:ilvl w:val="0"/>
          <w:numId w:val="2"/>
        </w:numPr>
        <w:tabs>
          <w:tab w:val="clear" w:pos="720"/>
          <w:tab w:val="left" w:pos="1260" w:leader="none"/>
        </w:tabs>
        <w:ind w:hanging="180" w:start="1260" w:end="0"/>
        <w:rPr>
          <w:rFonts w:ascii="Palatino" w:hAnsi="Palatino" w:cs="Palatino"/>
        </w:rPr>
      </w:pPr>
      <w:r>
        <w:rPr>
          <w:rFonts w:cs="Palatino" w:ascii="Palatino" w:hAnsi="Palatino"/>
        </w:rPr>
        <w:t>risk managers</w:t>
      </w:r>
    </w:p>
    <w:p>
      <w:pPr>
        <w:pStyle w:val="Normal"/>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t>The deregulating market in Japan has already attracted a variety of new participants:</w:t>
      </w:r>
    </w:p>
    <w:p>
      <w:pPr>
        <w:pStyle w:val="Normal"/>
        <w:rPr>
          <w:rFonts w:ascii="Palatino" w:hAnsi="Palatino" w:cs="Palatino"/>
        </w:rPr>
      </w:pPr>
      <w:r>
        <w:rPr>
          <w:rFonts w:cs="Palatino" w:ascii="Palatino" w:hAnsi="Palatino"/>
        </w:rPr>
      </w:r>
    </w:p>
    <w:p>
      <w:pPr>
        <w:pStyle w:val="Normal"/>
        <w:numPr>
          <w:ilvl w:val="0"/>
          <w:numId w:val="3"/>
        </w:numPr>
        <w:rPr>
          <w:rFonts w:ascii="Palatino" w:hAnsi="Palatino" w:cs="Palatino"/>
        </w:rPr>
      </w:pPr>
      <w:r>
        <w:rPr>
          <w:rFonts w:cs="Palatino" w:ascii="Palatino" w:hAnsi="Palatino"/>
        </w:rPr>
        <w:t>Financial institutions (both domestic and international)</w:t>
      </w:r>
    </w:p>
    <w:p>
      <w:pPr>
        <w:pStyle w:val="Normal"/>
        <w:numPr>
          <w:ilvl w:val="0"/>
          <w:numId w:val="3"/>
        </w:numPr>
        <w:rPr>
          <w:rFonts w:ascii="Palatino" w:hAnsi="Palatino" w:cs="Palatino"/>
        </w:rPr>
      </w:pPr>
      <w:r>
        <w:rPr>
          <w:rFonts w:cs="Palatino" w:ascii="Palatino" w:hAnsi="Palatino"/>
        </w:rPr>
        <w:t>Trading houses</w:t>
      </w:r>
    </w:p>
    <w:p>
      <w:pPr>
        <w:pStyle w:val="Normal"/>
        <w:numPr>
          <w:ilvl w:val="0"/>
          <w:numId w:val="3"/>
        </w:numPr>
        <w:rPr>
          <w:rFonts w:ascii="Palatino" w:hAnsi="Palatino" w:cs="Palatino"/>
        </w:rPr>
      </w:pPr>
      <w:r>
        <w:rPr>
          <w:rFonts w:cs="Palatino" w:ascii="Palatino" w:hAnsi="Palatino"/>
        </w:rPr>
        <w:t>Private commodities exchanges</w:t>
      </w:r>
    </w:p>
    <w:p>
      <w:pPr>
        <w:pStyle w:val="Normal"/>
        <w:numPr>
          <w:ilvl w:val="0"/>
          <w:numId w:val="3"/>
        </w:numPr>
        <w:rPr>
          <w:rFonts w:ascii="Palatino" w:hAnsi="Palatino" w:cs="Palatino"/>
        </w:rPr>
      </w:pPr>
      <w:r>
        <w:rPr>
          <w:rFonts w:cs="Palatino" w:ascii="Palatino" w:hAnsi="Palatino"/>
        </w:rPr>
        <w:t>Traditional IPP developers</w:t>
      </w:r>
    </w:p>
    <w:p>
      <w:pPr>
        <w:pStyle w:val="Normal"/>
        <w:numPr>
          <w:ilvl w:val="0"/>
          <w:numId w:val="3"/>
        </w:numPr>
        <w:rPr>
          <w:rFonts w:ascii="Palatino" w:hAnsi="Palatino" w:cs="Palatino"/>
        </w:rPr>
      </w:pPr>
      <w:r>
        <w:rPr>
          <w:rFonts w:cs="Palatino" w:ascii="Palatino" w:hAnsi="Palatino"/>
        </w:rPr>
        <w:t>Gas utilities</w:t>
      </w:r>
    </w:p>
    <w:p>
      <w:pPr>
        <w:pStyle w:val="Normal"/>
        <w:numPr>
          <w:ilvl w:val="0"/>
          <w:numId w:val="3"/>
        </w:numPr>
        <w:rPr>
          <w:rFonts w:ascii="Palatino" w:hAnsi="Palatino" w:cs="Palatino"/>
        </w:rPr>
      </w:pPr>
      <w:r>
        <w:rPr>
          <w:rFonts w:cs="Palatino" w:ascii="Palatino" w:hAnsi="Palatino"/>
        </w:rPr>
        <w:t>Communications companies</w:t>
      </w:r>
    </w:p>
    <w:p>
      <w:pPr>
        <w:pStyle w:val="Normal"/>
        <w:numPr>
          <w:ilvl w:val="0"/>
          <w:numId w:val="3"/>
        </w:numPr>
        <w:rPr>
          <w:rFonts w:ascii="Palatino" w:hAnsi="Palatino" w:cs="Palatino"/>
        </w:rPr>
      </w:pPr>
      <w:r>
        <w:rPr>
          <w:rFonts w:cs="Palatino" w:ascii="Palatino" w:hAnsi="Palatino"/>
        </w:rPr>
        <w:t>Large industrials</w:t>
      </w:r>
    </w:p>
    <w:p>
      <w:pPr>
        <w:pStyle w:val="Normal"/>
        <w:numPr>
          <w:ilvl w:val="0"/>
          <w:numId w:val="3"/>
        </w:numPr>
        <w:rPr>
          <w:rFonts w:ascii="Palatino" w:hAnsi="Palatino" w:cs="Palatino"/>
        </w:rPr>
      </w:pPr>
      <w:r>
        <w:rPr>
          <w:rFonts w:cs="Palatino" w:ascii="Palatino" w:hAnsi="Palatino"/>
        </w:rPr>
        <w:t>Other non-traditional companies</w:t>
      </w:r>
    </w:p>
    <w:p>
      <w:pPr>
        <w:pStyle w:val="Heading2"/>
        <w:ind w:hanging="0" w:start="0"/>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r>
    </w:p>
    <w:p>
      <w:pPr>
        <w:pStyle w:val="Heading2"/>
        <w:ind w:hanging="0" w:start="0"/>
        <w:rPr>
          <w:rFonts w:ascii="Palatino" w:hAnsi="Palatino" w:cs="Palatino"/>
          <w:sz w:val="28"/>
        </w:rPr>
      </w:pPr>
      <w:r>
        <w:rPr>
          <w:rFonts w:cs="Palatino" w:ascii="Palatino" w:hAnsi="Palatino"/>
          <w:sz w:val="28"/>
        </w:rPr>
        <w:t>Licensing requirements are not onerous</w:t>
      </w:r>
    </w:p>
    <w:p>
      <w:pPr>
        <w:pStyle w:val="Normal"/>
        <w:rPr>
          <w:rFonts w:ascii="Palatino" w:hAnsi="Palatino" w:cs="Palatino"/>
          <w:sz w:val="28"/>
        </w:rPr>
      </w:pPr>
      <w:r>
        <w:rPr>
          <w:rFonts w:cs="Palatino" w:ascii="Palatino" w:hAnsi="Palatino"/>
          <w:sz w:val="28"/>
        </w:rPr>
      </w:r>
    </w:p>
    <w:p>
      <w:pPr>
        <w:pStyle w:val="BodyText"/>
        <w:rPr>
          <w:b w:val="false"/>
          <w:bCs w:val="false"/>
        </w:rPr>
      </w:pPr>
      <w:r>
        <w:rPr>
          <w:b w:val="false"/>
          <w:bCs w:val="false"/>
        </w:rPr>
        <w:t>The licensing requirements for entry into the market in Japan are relatively straightforward as compared with some other jurisdictions.</w:t>
      </w:r>
    </w:p>
    <w:p>
      <w:pPr>
        <w:pStyle w:val="Normal"/>
        <w:rPr>
          <w:b/>
          <w:bCs/>
        </w:rPr>
      </w:pPr>
      <w:r>
        <w:rPr>
          <w:b/>
          <w:bCs/>
        </w:rPr>
      </w:r>
    </w:p>
    <w:p>
      <w:pPr>
        <w:pStyle w:val="Normal"/>
        <w:rPr>
          <w:rFonts w:ascii="Palatino" w:hAnsi="Palatino" w:cs="Palatino"/>
          <w:sz w:val="28"/>
        </w:rPr>
      </w:pPr>
      <w:r>
        <w:rPr>
          <w:rFonts w:cs="Palatino" w:ascii="Palatino" w:hAnsi="Palatino"/>
          <w:sz w:val="28"/>
        </w:rPr>
      </w:r>
    </w:p>
    <w:p>
      <w:pPr>
        <w:pStyle w:val="Normal"/>
        <w:rPr>
          <w:rFonts w:ascii="Palatino" w:hAnsi="Palatino" w:cs="Palatino"/>
          <w:i/>
          <w:i/>
          <w:iCs/>
          <w:color w:val="FF0000"/>
        </w:rPr>
      </w:pPr>
      <w:r>
        <w:rPr>
          <w:rFonts w:cs="Palatino" w:ascii="Palatino" w:hAnsi="Palatino"/>
          <w:i/>
          <w:iCs/>
          <w:color w:val="FF0000"/>
        </w:rPr>
        <w:t>[Click here for more information on the licensing requirements and the Electric Utilities Law and Ordinances.]</w:t>
      </w:r>
    </w:p>
    <w:p>
      <w:pPr>
        <w:pStyle w:val="Normal"/>
        <w:rPr>
          <w:rFonts w:ascii="Palatino" w:hAnsi="Palatino" w:cs="Palatino"/>
          <w:i/>
          <w:i/>
          <w:iCs/>
          <w:color w:val="FF0000"/>
        </w:rPr>
      </w:pPr>
      <w:r>
        <w:rPr>
          <w:rFonts w:cs="Palatino" w:ascii="Palatino" w:hAnsi="Palatino"/>
          <w:i/>
          <w:iCs/>
          <w:color w:val="FF0000"/>
        </w:rPr>
      </w:r>
    </w:p>
    <w:p>
      <w:pPr>
        <w:pStyle w:val="Normal"/>
        <w:rPr>
          <w:rFonts w:ascii="Palatino" w:hAnsi="Palatino" w:cs="Palatino"/>
        </w:rPr>
      </w:pPr>
      <w:r>
        <w:rPr>
          <w:rFonts w:cs="Palatino" w:ascii="Palatino" w:hAnsi="Palatino"/>
        </w:rPr>
      </w:r>
    </w:p>
    <w:p>
      <w:pPr>
        <w:pStyle w:val="Heading2"/>
        <w:ind w:hanging="0" w:start="0"/>
        <w:rPr>
          <w:rFonts w:ascii="Palatino" w:hAnsi="Palatino" w:cs="Palatino"/>
          <w:sz w:val="28"/>
        </w:rPr>
      </w:pPr>
      <w:r>
        <w:rPr>
          <w:rFonts w:cs="Palatino" w:ascii="Palatino" w:hAnsi="Palatino"/>
          <w:sz w:val="28"/>
        </w:rPr>
        <w:t>There are some barriers for new market participants</w:t>
      </w:r>
    </w:p>
    <w:p>
      <w:pPr>
        <w:pStyle w:val="Normal"/>
        <w:rPr>
          <w:rFonts w:ascii="Palatino" w:hAnsi="Palatino" w:cs="Palatino"/>
          <w:sz w:val="28"/>
        </w:rPr>
      </w:pPr>
      <w:r>
        <w:rPr>
          <w:rFonts w:cs="Palatino" w:ascii="Palatino" w:hAnsi="Palatino"/>
          <w:sz w:val="28"/>
        </w:rPr>
      </w:r>
    </w:p>
    <w:p>
      <w:pPr>
        <w:pStyle w:val="Normal"/>
        <w:rPr>
          <w:rFonts w:ascii="Palatino" w:hAnsi="Palatino" w:cs="Palatino"/>
        </w:rPr>
      </w:pPr>
      <w:r>
        <w:rPr>
          <w:rFonts w:cs="Palatino" w:ascii="Palatino" w:hAnsi="Palatino"/>
        </w:rPr>
        <w:t>The Japanese Government has sought to balance the interests of incumbent utilities with the interests of new entrants to the markets.  However, participation by new entrants since March 2000 has been limited. While there are significant commercial issues that new entrants need to address, such as access to generation, application time periods and transmission service tariffs, there are a number of structural issues that are of concern.  The attached paper sets out these concerns.</w:t>
      </w:r>
    </w:p>
    <w:p>
      <w:pPr>
        <w:pStyle w:val="Normal"/>
        <w:rPr>
          <w:rFonts w:ascii="Palatino" w:hAnsi="Palatino" w:cs="Palatino"/>
        </w:rPr>
      </w:pPr>
      <w:r>
        <w:rPr>
          <w:rFonts w:cs="Palatino" w:ascii="Palatino" w:hAnsi="Palatino"/>
        </w:rPr>
      </w:r>
    </w:p>
    <w:p>
      <w:pPr>
        <w:pStyle w:val="Normal"/>
        <w:rPr>
          <w:rFonts w:ascii="Palatino" w:hAnsi="Palatino" w:cs="Palatino"/>
          <w:i/>
          <w:i/>
          <w:iCs/>
          <w:color w:val="FF0000"/>
        </w:rPr>
      </w:pPr>
      <w:r>
        <w:rPr>
          <w:rFonts w:cs="Palatino" w:ascii="Palatino" w:hAnsi="Palatino"/>
          <w:i/>
          <w:iCs/>
          <w:color w:val="FF0000"/>
        </w:rPr>
        <w:t>[Click here for more on barriers to entry.]</w:t>
      </w:r>
    </w:p>
    <w:p>
      <w:pPr>
        <w:pStyle w:val="BodyText"/>
        <w:rPr>
          <w:rFonts w:ascii="Palatino" w:hAnsi="Palatino" w:cs="Palatino"/>
          <w:i/>
          <w:i/>
          <w:iCs/>
          <w:color w:val="FF0000"/>
        </w:rPr>
      </w:pPr>
      <w:r>
        <w:rPr>
          <w:rFonts w:cs="Palatino"/>
          <w:i/>
          <w:iCs/>
          <w:color w:val="FF0000"/>
        </w:rPr>
      </w:r>
    </w:p>
    <w:p>
      <w:pPr>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pStyle w:val="Normal"/>
        <w:rPr>
          <w:rFonts w:ascii="Palatino" w:hAnsi="Palatino" w:cs="Palatino"/>
        </w:rPr>
      </w:pPr>
      <w:r>
        <w:rPr>
          <w:rFonts w:cs="Palatino" w:ascii="Palatino" w:hAnsi="Palatino"/>
        </w:rPr>
      </w:r>
    </w:p>
    <w:p>
      <w:pPr>
        <w:pStyle w:val="Heading"/>
        <w:rPr>
          <w:rFonts w:ascii="Palatino" w:hAnsi="Palatino" w:cs="Palatino"/>
          <w:b w:val="false"/>
          <w:bCs/>
          <w:sz w:val="20"/>
        </w:rPr>
      </w:pPr>
      <w:r>
        <w:rPr>
          <w:rFonts w:cs="Palatino" w:ascii="Palatino" w:hAnsi="Palatino"/>
          <w:b w:val="false"/>
          <w:bCs/>
          <w:sz w:val="20"/>
        </w:rPr>
        <w:t>Secondary Page</w:t>
      </w:r>
    </w:p>
    <w:p>
      <w:pPr>
        <w:pStyle w:val="Heading"/>
        <w:rPr>
          <w:rFonts w:ascii="Palatino" w:hAnsi="Palatino" w:cs="Palatino"/>
          <w:b w:val="false"/>
          <w:bCs/>
          <w:sz w:val="20"/>
        </w:rPr>
      </w:pPr>
      <w:r>
        <w:rPr>
          <w:rFonts w:cs="Palatino" w:ascii="Palatino" w:hAnsi="Palatino"/>
          <w:b w:val="false"/>
          <w:bCs/>
          <w:sz w:val="20"/>
        </w:rPr>
      </w:r>
    </w:p>
    <w:p>
      <w:pPr>
        <w:pStyle w:val="Heading"/>
        <w:rPr/>
      </w:pPr>
      <w:r>
        <w:rPr/>
        <w:t>Electricity Businesses under the Electricity Utilities Law (Draft)</w:t>
      </w:r>
    </w:p>
    <w:p>
      <w:pPr>
        <w:pStyle w:val="Header"/>
        <w:tabs>
          <w:tab w:val="clear" w:pos="4320"/>
          <w:tab w:val="clear" w:pos="8640"/>
        </w:tabs>
        <w:rPr>
          <w:szCs w:val="24"/>
        </w:rPr>
      </w:pPr>
      <w:r>
        <w:rPr>
          <w:szCs w:val="24"/>
        </w:rPr>
      </w:r>
    </w:p>
    <w:tbl>
      <w:tblPr>
        <w:tblW w:w="14328" w:type="dxa"/>
        <w:jc w:val="start"/>
        <w:tblInd w:w="0" w:type="dxa"/>
        <w:tblLayout w:type="fixed"/>
        <w:tblCellMar>
          <w:top w:w="0" w:type="dxa"/>
          <w:start w:w="108" w:type="dxa"/>
          <w:bottom w:w="0" w:type="dxa"/>
          <w:end w:w="108" w:type="dxa"/>
        </w:tblCellMar>
      </w:tblPr>
      <w:tblGrid>
        <w:gridCol w:w="2388"/>
        <w:gridCol w:w="2388"/>
        <w:gridCol w:w="2388"/>
        <w:gridCol w:w="2388"/>
        <w:gridCol w:w="2388"/>
        <w:gridCol w:w="2388"/>
      </w:tblGrid>
      <w:tr>
        <w:trPr/>
        <w:tc>
          <w:tcPr>
            <w:tcW w:w="2388" w:type="dxa"/>
            <w:tcBorders>
              <w:top w:val="single" w:sz="4" w:space="0" w:color="000000"/>
              <w:start w:val="single" w:sz="4" w:space="0" w:color="000000"/>
              <w:bottom w:val="single" w:sz="4" w:space="0" w:color="000000"/>
              <w:end w:val="single" w:sz="4" w:space="0" w:color="000000"/>
            </w:tcBorders>
          </w:tcPr>
          <w:p>
            <w:pPr>
              <w:pStyle w:val="Normal"/>
              <w:jc w:val="center"/>
              <w:rPr>
                <w:b/>
                <w:caps/>
                <w:sz w:val="20"/>
              </w:rPr>
            </w:pPr>
            <w:r>
              <w:rPr>
                <w:b/>
                <w:caps/>
                <w:sz w:val="20"/>
              </w:rPr>
              <w:t>Type of Electric Business</w:t>
            </w:r>
          </w:p>
        </w:tc>
        <w:tc>
          <w:tcPr>
            <w:tcW w:w="2388" w:type="dxa"/>
            <w:tcBorders>
              <w:top w:val="single" w:sz="4" w:space="0" w:color="000000"/>
              <w:start w:val="single" w:sz="4" w:space="0" w:color="000000"/>
              <w:bottom w:val="single" w:sz="4" w:space="0" w:color="000000"/>
              <w:end w:val="single" w:sz="4" w:space="0" w:color="000000"/>
            </w:tcBorders>
          </w:tcPr>
          <w:p>
            <w:pPr>
              <w:pStyle w:val="Normal"/>
              <w:jc w:val="center"/>
              <w:rPr>
                <w:b/>
                <w:caps/>
                <w:sz w:val="20"/>
              </w:rPr>
            </w:pPr>
            <w:r>
              <w:rPr>
                <w:b/>
                <w:caps/>
                <w:sz w:val="20"/>
              </w:rPr>
              <w:t>Description of Activities</w:t>
            </w:r>
          </w:p>
        </w:tc>
        <w:tc>
          <w:tcPr>
            <w:tcW w:w="2388" w:type="dxa"/>
            <w:tcBorders>
              <w:top w:val="single" w:sz="4" w:space="0" w:color="000000"/>
              <w:start w:val="single" w:sz="4" w:space="0" w:color="000000"/>
              <w:bottom w:val="single" w:sz="4" w:space="0" w:color="000000"/>
              <w:end w:val="single" w:sz="4" w:space="0" w:color="000000"/>
            </w:tcBorders>
          </w:tcPr>
          <w:p>
            <w:pPr>
              <w:pStyle w:val="Normal"/>
              <w:jc w:val="center"/>
              <w:rPr>
                <w:b/>
                <w:caps/>
                <w:sz w:val="20"/>
              </w:rPr>
            </w:pPr>
            <w:r>
              <w:rPr>
                <w:b/>
                <w:caps/>
                <w:sz w:val="20"/>
              </w:rPr>
              <w:t>Companies (# in Japan)</w:t>
            </w:r>
          </w:p>
        </w:tc>
        <w:tc>
          <w:tcPr>
            <w:tcW w:w="2388" w:type="dxa"/>
            <w:tcBorders>
              <w:top w:val="single" w:sz="4" w:space="0" w:color="000000"/>
              <w:start w:val="single" w:sz="4" w:space="0" w:color="000000"/>
              <w:bottom w:val="single" w:sz="4" w:space="0" w:color="000000"/>
              <w:end w:val="single" w:sz="4" w:space="0" w:color="000000"/>
            </w:tcBorders>
          </w:tcPr>
          <w:p>
            <w:pPr>
              <w:pStyle w:val="Normal"/>
              <w:jc w:val="center"/>
              <w:rPr>
                <w:b/>
                <w:caps/>
                <w:sz w:val="20"/>
              </w:rPr>
            </w:pPr>
            <w:r>
              <w:rPr>
                <w:b/>
                <w:caps/>
                <w:sz w:val="20"/>
              </w:rPr>
              <w:t>Supply To</w:t>
            </w:r>
          </w:p>
        </w:tc>
        <w:tc>
          <w:tcPr>
            <w:tcW w:w="2388" w:type="dxa"/>
            <w:tcBorders>
              <w:top w:val="single" w:sz="4" w:space="0" w:color="000000"/>
              <w:start w:val="single" w:sz="4" w:space="0" w:color="000000"/>
              <w:bottom w:val="single" w:sz="4" w:space="0" w:color="000000"/>
              <w:end w:val="single" w:sz="4" w:space="0" w:color="000000"/>
            </w:tcBorders>
          </w:tcPr>
          <w:p>
            <w:pPr>
              <w:pStyle w:val="Normal"/>
              <w:jc w:val="center"/>
              <w:rPr>
                <w:b/>
                <w:caps/>
                <w:sz w:val="20"/>
              </w:rPr>
            </w:pPr>
            <w:r>
              <w:rPr>
                <w:b/>
                <w:caps/>
                <w:sz w:val="20"/>
              </w:rPr>
              <w:t>License Requirements</w:t>
            </w:r>
          </w:p>
        </w:tc>
        <w:tc>
          <w:tcPr>
            <w:tcW w:w="2388" w:type="dxa"/>
            <w:tcBorders>
              <w:top w:val="single" w:sz="4" w:space="0" w:color="000000"/>
              <w:start w:val="single" w:sz="4" w:space="0" w:color="000000"/>
              <w:bottom w:val="single" w:sz="4" w:space="0" w:color="000000"/>
              <w:end w:val="single" w:sz="4" w:space="0" w:color="000000"/>
            </w:tcBorders>
          </w:tcPr>
          <w:p>
            <w:pPr>
              <w:pStyle w:val="Normal"/>
              <w:jc w:val="center"/>
              <w:rPr>
                <w:b/>
                <w:caps/>
                <w:sz w:val="20"/>
              </w:rPr>
            </w:pPr>
            <w:r>
              <w:rPr>
                <w:b/>
                <w:caps/>
                <w:sz w:val="20"/>
              </w:rPr>
              <w:t>Comments</w:t>
            </w:r>
          </w:p>
        </w:tc>
      </w:tr>
      <w:tr>
        <w:trPr/>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General Electric Utility Supply Business </w:t>
            </w:r>
          </w:p>
          <w:p>
            <w:pPr>
              <w:pStyle w:val="Normal"/>
              <w:rPr>
                <w:sz w:val="20"/>
              </w:rPr>
            </w:pPr>
            <w:r>
              <w:rPr>
                <w:sz w:val="20"/>
              </w:rPr>
              <w:t>(GEUSB)</w:t>
            </w:r>
          </w:p>
          <w:p>
            <w:pPr>
              <w:pStyle w:val="Normal"/>
              <w:rPr>
                <w:sz w:val="20"/>
              </w:rPr>
            </w:pPr>
            <w:r>
              <w:rPr>
                <w:sz w:val="20"/>
              </w:rPr>
              <w:t>EUL Art.2(1)</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Supply of electricity for general demand. </w:t>
            </w:r>
          </w:p>
          <w:p>
            <w:pPr>
              <w:pStyle w:val="Normal"/>
              <w:rPr>
                <w:sz w:val="20"/>
              </w:rPr>
            </w:pPr>
            <w:r>
              <w:rPr>
                <w:sz w:val="20"/>
              </w:rPr>
              <w:t>Generation, transmission and distribution.</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 major Electric Utilities (TEPCO, Kansai Electric, Chubu Electric etc.) + Okinawa.</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Non-liberalized sector (residential use etc.) and large-scale users.</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Subject to strict approval  requirements by MITI (EUL Arts.3 to 5).</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GUESB can now supply outside their own supply area after the March 2000 EUL revisions.</w:t>
            </w:r>
          </w:p>
        </w:tc>
      </w:tr>
      <w:tr>
        <w:trPr/>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Wholesale Electric Utility Supply Business (WEUSB)</w:t>
            </w:r>
          </w:p>
          <w:p>
            <w:pPr>
              <w:pStyle w:val="Normal"/>
              <w:rPr>
                <w:sz w:val="20"/>
              </w:rPr>
            </w:pPr>
            <w:r>
              <w:rPr>
                <w:sz w:val="20"/>
              </w:rPr>
              <w:t>EUL Art.2(3)</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Supply of electricity to GEUSB Operator for use in GEUSB.</w:t>
            </w:r>
          </w:p>
          <w:p>
            <w:pPr>
              <w:pStyle w:val="Normal"/>
              <w:rPr>
                <w:sz w:val="20"/>
              </w:rPr>
            </w:pPr>
            <w:r>
              <w:rPr>
                <w:sz w:val="20"/>
              </w:rPr>
              <w:t>Generation (over 2 million kW only)</w:t>
            </w:r>
          </w:p>
        </w:tc>
        <w:tc>
          <w:tcPr>
            <w:tcW w:w="23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sz w:val="20"/>
              </w:rPr>
            </w:pPr>
            <w:r>
              <w:rPr>
                <w:sz w:val="20"/>
              </w:rPr>
              <w:t>EPDC</w:t>
            </w:r>
          </w:p>
          <w:p>
            <w:pPr>
              <w:pStyle w:val="Normal"/>
              <w:numPr>
                <w:ilvl w:val="0"/>
                <w:numId w:val="4"/>
              </w:numPr>
              <w:rPr>
                <w:sz w:val="20"/>
              </w:rPr>
            </w:pPr>
            <w:r>
              <w:rPr>
                <w:sz w:val="20"/>
              </w:rPr>
              <w:t>Japan Nuclear Energy Generation Company</w:t>
            </w:r>
          </w:p>
          <w:p>
            <w:pPr>
              <w:pStyle w:val="Normal"/>
              <w:numPr>
                <w:ilvl w:val="0"/>
                <w:numId w:val="4"/>
              </w:numPr>
              <w:rPr>
                <w:sz w:val="20"/>
              </w:rPr>
            </w:pPr>
            <w:r>
              <w:rPr>
                <w:sz w:val="20"/>
              </w:rPr>
              <w:t xml:space="preserve">Local-Government Operated (34) </w:t>
            </w:r>
          </w:p>
          <w:p>
            <w:pPr>
              <w:pStyle w:val="Normal"/>
              <w:numPr>
                <w:ilvl w:val="0"/>
                <w:numId w:val="4"/>
              </w:numPr>
              <w:rPr>
                <w:sz w:val="20"/>
              </w:rPr>
            </w:pPr>
            <w:r>
              <w:rPr>
                <w:sz w:val="20"/>
              </w:rPr>
              <w:t>Others (20)</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GEUSB</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Subject to strict approval  requirements by MITI (EUL Arts.3 to 5).</w:t>
            </w:r>
          </w:p>
        </w:tc>
        <w:tc>
          <w:tcPr>
            <w:tcW w:w="238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Wholesale Supply Business (WSB)</w:t>
            </w:r>
          </w:p>
          <w:p>
            <w:pPr>
              <w:pStyle w:val="Normal"/>
              <w:rPr>
                <w:sz w:val="20"/>
              </w:rPr>
            </w:pPr>
            <w:r>
              <w:rPr>
                <w:sz w:val="20"/>
              </w:rPr>
              <w:t>EUL Art.2(11)</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Supply of electricity to GEUSB Operator for use in GEUSB for a period of more than 10 years (exceeding 1000kW); or more than 5 years (exceeding 100,000kW).</w:t>
            </w:r>
          </w:p>
          <w:p>
            <w:pPr>
              <w:pStyle w:val="Normal"/>
              <w:rPr>
                <w:sz w:val="20"/>
              </w:rPr>
            </w:pPr>
            <w:r>
              <w:rPr>
                <w:sz w:val="20"/>
              </w:rPr>
              <w:t xml:space="preserve">Generation (excluding transfer supply) </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IPPs </w:t>
            </w:r>
          </w:p>
          <w:p>
            <w:pPr>
              <w:pStyle w:val="Normal"/>
              <w:rPr>
                <w:sz w:val="20"/>
              </w:rPr>
            </w:pPr>
            <w:r>
              <w:rPr>
                <w:sz w:val="20"/>
              </w:rPr>
              <w:t>No. of tenders awarded/yr:</w:t>
            </w:r>
          </w:p>
          <w:p>
            <w:pPr>
              <w:pStyle w:val="Normal"/>
              <w:rPr>
                <w:sz w:val="20"/>
              </w:rPr>
            </w:pPr>
            <w:r>
              <w:rPr>
                <w:sz w:val="20"/>
              </w:rPr>
              <w:t>1996 – 19</w:t>
            </w:r>
          </w:p>
          <w:p>
            <w:pPr>
              <w:pStyle w:val="Normal"/>
              <w:rPr>
                <w:sz w:val="20"/>
              </w:rPr>
            </w:pPr>
            <w:r>
              <w:rPr>
                <w:sz w:val="20"/>
              </w:rPr>
              <w:t>1997 – 16</w:t>
            </w:r>
          </w:p>
          <w:p>
            <w:pPr>
              <w:pStyle w:val="Normal"/>
              <w:rPr>
                <w:sz w:val="20"/>
              </w:rPr>
            </w:pPr>
            <w:r>
              <w:rPr>
                <w:sz w:val="20"/>
              </w:rPr>
              <w:t>1998 – 2</w:t>
            </w:r>
          </w:p>
          <w:p>
            <w:pPr>
              <w:pStyle w:val="Normal"/>
              <w:rPr>
                <w:sz w:val="20"/>
              </w:rPr>
            </w:pPr>
            <w:r>
              <w:rPr>
                <w:sz w:val="20"/>
              </w:rPr>
              <w:t>1999 – 1</w:t>
            </w:r>
          </w:p>
          <w:p>
            <w:pPr>
              <w:pStyle w:val="Normal"/>
              <w:rPr>
                <w:sz w:val="20"/>
              </w:rPr>
            </w:pPr>
            <w:r>
              <w:rPr>
                <w:sz w:val="20"/>
              </w:rPr>
              <w:t>2000 – ?</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GEUSB</w:t>
            </w:r>
          </w:p>
        </w:tc>
        <w:tc>
          <w:tcPr>
            <w:tcW w:w="23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Relaxed requirements.  Notice of fees &amp; other supply conditions must be sent to MITI pursuant to EUL Art.22(1).  However a WSB which wins a tender to supply a GEUSB does not need to notify MITI.</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new category created as a result of the 1995 amendments to the EUL (Art.2(11)).  Before 1995, businesses falling under the same specifications were treated as WEUSB, even if capacity less than required.</w:t>
            </w:r>
          </w:p>
        </w:tc>
      </w:tr>
      <w:tr>
        <w:trPr/>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Special (or Specific) Scale Electric Utility Supply Business</w:t>
            </w:r>
          </w:p>
          <w:p>
            <w:pPr>
              <w:pStyle w:val="Normal"/>
              <w:rPr>
                <w:sz w:val="20"/>
              </w:rPr>
            </w:pPr>
            <w:r>
              <w:rPr>
                <w:sz w:val="20"/>
              </w:rPr>
              <w:t>(SSEUSB)</w:t>
            </w:r>
          </w:p>
          <w:p>
            <w:pPr>
              <w:pStyle w:val="Normal"/>
              <w:rPr>
                <w:sz w:val="20"/>
              </w:rPr>
            </w:pPr>
            <w:r>
              <w:rPr>
                <w:sz w:val="20"/>
              </w:rPr>
              <w:t>EUL Art.2(7)</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Generation &amp; marketing (uses transmission &amp; distribution networks of GEUSB to supply end-user)</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Diamond Power (Mitsubishi)</w:t>
            </w:r>
          </w:p>
          <w:p>
            <w:pPr>
              <w:pStyle w:val="Normal"/>
              <w:rPr>
                <w:sz w:val="20"/>
              </w:rPr>
            </w:pPr>
            <w:r>
              <w:rPr>
                <w:sz w:val="20"/>
              </w:rPr>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Large-scale users only (i.e. those users who receive high voltage electricity (no less than 20,000V) and consume more than 2,000kW annually.)</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Relaxed requirements.  Only “Notice” required under EUL Art.16-2</w:t>
            </w:r>
          </w:p>
        </w:tc>
        <w:tc>
          <w:tcPr>
            <w:tcW w:w="238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Special Electric Utility Supply Business</w:t>
            </w:r>
          </w:p>
          <w:p>
            <w:pPr>
              <w:pStyle w:val="Normal"/>
              <w:rPr>
                <w:sz w:val="20"/>
              </w:rPr>
            </w:pPr>
            <w:r>
              <w:rPr>
                <w:sz w:val="20"/>
              </w:rPr>
              <w:t>(SEUSB)</w:t>
            </w:r>
          </w:p>
          <w:p>
            <w:pPr>
              <w:pStyle w:val="Normal"/>
              <w:rPr>
                <w:sz w:val="20"/>
              </w:rPr>
            </w:pPr>
            <w:r>
              <w:rPr>
                <w:sz w:val="20"/>
              </w:rPr>
              <w:t>EUL Art.2(5)</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Supply of electricity to meet demand at a specified delivery point; as approved by MITI.</w:t>
            </w:r>
          </w:p>
          <w:p>
            <w:pPr>
              <w:pStyle w:val="Normal"/>
              <w:rPr>
                <w:sz w:val="20"/>
              </w:rPr>
            </w:pPr>
            <w:r>
              <w:rPr>
                <w:sz w:val="20"/>
              </w:rPr>
            </w:r>
          </w:p>
        </w:tc>
        <w:tc>
          <w:tcPr>
            <w:tcW w:w="2388"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sz w:val="20"/>
              </w:rPr>
            </w:pPr>
            <w:r>
              <w:rPr>
                <w:sz w:val="20"/>
              </w:rPr>
              <w:t>Suwa Energy Service</w:t>
            </w:r>
          </w:p>
          <w:p>
            <w:pPr>
              <w:pStyle w:val="Normal"/>
              <w:numPr>
                <w:ilvl w:val="0"/>
                <w:numId w:val="8"/>
              </w:numPr>
              <w:rPr>
                <w:sz w:val="20"/>
              </w:rPr>
            </w:pPr>
            <w:r>
              <w:rPr>
                <w:sz w:val="20"/>
              </w:rPr>
              <w:t>Amagasaki Utility Service</w:t>
            </w:r>
          </w:p>
          <w:p>
            <w:pPr>
              <w:pStyle w:val="Normal"/>
              <w:rPr>
                <w:sz w:val="20"/>
              </w:rPr>
            </w:pPr>
            <w:r>
              <w:rPr>
                <w:sz w:val="20"/>
              </w:rPr>
              <w:t>Approved by MITI in ’97 &amp; ’98 respectively</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Users in specified locations only.</w:t>
            </w:r>
          </w:p>
        </w:tc>
        <w:tc>
          <w:tcPr>
            <w:tcW w:w="238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Subject to strict approval  requirements by MITI (EUL Arts.3 to 5).</w:t>
            </w:r>
          </w:p>
        </w:tc>
        <w:tc>
          <w:tcPr>
            <w:tcW w:w="23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sz w:val="20"/>
              </w:rPr>
            </w:pPr>
            <w:r>
              <w:rPr>
                <w:sz w:val="20"/>
              </w:rPr>
              <w:t>1 Generator (3,122kW)</w:t>
            </w:r>
          </w:p>
          <w:p>
            <w:pPr>
              <w:pStyle w:val="Normal"/>
              <w:numPr>
                <w:ilvl w:val="0"/>
                <w:numId w:val="6"/>
              </w:numPr>
              <w:rPr>
                <w:sz w:val="20"/>
              </w:rPr>
            </w:pPr>
            <w:r>
              <w:rPr>
                <w:sz w:val="20"/>
              </w:rPr>
              <w:t>1 Generator (12,600 kW)</w:t>
            </w:r>
          </w:p>
        </w:tc>
      </w:tr>
    </w:tbl>
    <w:p>
      <w:pPr>
        <w:sectPr>
          <w:footerReference w:type="default" r:id="rId5"/>
          <w:footerReference w:type="first" r:id="rId6"/>
          <w:type w:val="nextPage"/>
          <w:pgSz w:orient="landscape" w:w="15840" w:h="12240"/>
          <w:pgMar w:left="1152" w:right="1440" w:gutter="0" w:header="0" w:top="1800" w:footer="720" w:bottom="1800"/>
          <w:pgNumType w:fmt="decimal"/>
          <w:formProt w:val="false"/>
          <w:textDirection w:val="lrTb"/>
          <w:docGrid w:type="default" w:linePitch="360" w:charSpace="0"/>
        </w:sectPr>
      </w:pPr>
    </w:p>
    <w:p>
      <w:pPr>
        <w:pStyle w:val="BodyText"/>
        <w:jc w:val="center"/>
        <w:rPr>
          <w:b w:val="false"/>
          <w:bCs w:val="false"/>
          <w:sz w:val="20"/>
        </w:rPr>
      </w:pPr>
      <w:r>
        <w:rPr>
          <w:b w:val="false"/>
          <w:bCs w:val="false"/>
          <w:sz w:val="20"/>
        </w:rPr>
        <w:t>Secondary Page</w:t>
      </w:r>
    </w:p>
    <w:p>
      <w:pPr>
        <w:pStyle w:val="BodyText"/>
        <w:rPr/>
      </w:pPr>
      <w:r>
        <w:rPr/>
      </w:r>
    </w:p>
    <w:p>
      <w:pPr>
        <w:pStyle w:val="BodyText"/>
        <w:rPr/>
      </w:pPr>
      <w:r>
        <w:rPr/>
        <w:t>Key Issues in the Electricity Sector in Japan in the next 12 months</w:t>
      </w:r>
    </w:p>
    <w:p>
      <w:pPr>
        <w:pStyle w:val="Normal"/>
        <w:rPr>
          <w:rFonts w:ascii="Palatino" w:hAnsi="Palatino" w:cs="Palatino"/>
          <w:sz w:val="32"/>
        </w:rPr>
      </w:pPr>
      <w:r>
        <w:rPr>
          <w:rFonts w:cs="Palatino" w:ascii="Palatino" w:hAnsi="Palatino"/>
          <w:sz w:val="32"/>
        </w:rPr>
      </w:r>
    </w:p>
    <w:p>
      <w:pPr>
        <w:pStyle w:val="Heading1"/>
        <w:ind w:hanging="0" w:start="0"/>
        <w:rPr>
          <w:rFonts w:ascii="Palatino" w:hAnsi="Palatino" w:cs="Palatino"/>
          <w:bCs w:val="false"/>
          <w:sz w:val="24"/>
        </w:rPr>
      </w:pPr>
      <w:r>
        <w:rPr>
          <w:rFonts w:cs="Palatino" w:ascii="Palatino" w:hAnsi="Palatino"/>
          <w:bCs w:val="false"/>
          <w:sz w:val="24"/>
        </w:rPr>
        <w:t>Introduction</w:t>
      </w:r>
    </w:p>
    <w:p>
      <w:pPr>
        <w:pStyle w:val="Normal"/>
        <w:rPr>
          <w:rFonts w:ascii="Palatino" w:hAnsi="Palatino" w:cs="Palatino"/>
          <w:bCs/>
          <w:sz w:val="24"/>
        </w:rPr>
      </w:pPr>
      <w:r>
        <w:rPr>
          <w:rFonts w:cs="Palatino" w:ascii="Palatino" w:hAnsi="Palatino"/>
          <w:bCs/>
          <w:sz w:val="24"/>
        </w:rPr>
      </w:r>
    </w:p>
    <w:p>
      <w:pPr>
        <w:pStyle w:val="Normal"/>
        <w:rPr>
          <w:rFonts w:ascii="Palatino" w:hAnsi="Palatino" w:cs="Palatino"/>
        </w:rPr>
      </w:pPr>
      <w:r>
        <w:rPr>
          <w:rFonts w:cs="Palatino" w:ascii="Palatino" w:hAnsi="Palatino"/>
        </w:rPr>
        <w:t>The Ministry of International Trade and Industry has implemented reforms that provide a good framework for a competitive electricity sector in Japan. MITI has sought to balance the interests of incumbent utilities with the interests of potential new entrants. However, participation by new entrants since March 21 has been limited. While there are significant commercial issues that new entrants need to address, such as access to generation, application time periods and tariffs for transmission service, there are a number of structural issues that are of immediate concern.</w:t>
      </w:r>
    </w:p>
    <w:p>
      <w:pPr>
        <w:pStyle w:val="Normal"/>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t>Continuation of the reforms in the electricity sector, rather than the proposed three-year review period is critical. It is encouraging that the electricity reform group within MITI has been maintained and that a new study group will be formed to review the current deregulation process.</w:t>
      </w:r>
    </w:p>
    <w:p>
      <w:pPr>
        <w:pStyle w:val="Normal"/>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t xml:space="preserve">The following paragraphs identify the key issues in the Japanese electricity industry that are of most immediate concern.    </w:t>
      </w:r>
    </w:p>
    <w:p>
      <w:pPr>
        <w:pStyle w:val="Normal"/>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r>
    </w:p>
    <w:p>
      <w:pPr>
        <w:pStyle w:val="Heading1"/>
        <w:ind w:hanging="0" w:start="0"/>
        <w:rPr>
          <w:rFonts w:ascii="Palatino" w:hAnsi="Palatino" w:cs="Palatino"/>
          <w:bCs w:val="false"/>
          <w:sz w:val="24"/>
        </w:rPr>
      </w:pPr>
      <w:r>
        <w:rPr>
          <w:rFonts w:cs="Palatino" w:ascii="Palatino" w:hAnsi="Palatino"/>
          <w:bCs w:val="false"/>
          <w:sz w:val="24"/>
        </w:rPr>
        <w:t>Information Disclosure</w:t>
      </w:r>
    </w:p>
    <w:p>
      <w:pPr>
        <w:pStyle w:val="Normal"/>
        <w:rPr>
          <w:rFonts w:ascii="Palatino" w:hAnsi="Palatino" w:cs="Palatino"/>
        </w:rPr>
      </w:pPr>
      <w:r>
        <w:rPr>
          <w:rFonts w:cs="Palatino" w:ascii="Palatino" w:hAnsi="Palatino"/>
        </w:rPr>
        <w:t>Effective competition requires that all participants have equal access to relevant information.  In particular, this includes:</w:t>
      </w:r>
    </w:p>
    <w:p>
      <w:pPr>
        <w:pStyle w:val="Normal"/>
        <w:numPr>
          <w:ilvl w:val="0"/>
          <w:numId w:val="5"/>
        </w:numPr>
        <w:rPr>
          <w:rFonts w:ascii="Palatino" w:hAnsi="Palatino" w:cs="Palatino"/>
        </w:rPr>
      </w:pPr>
      <w:r>
        <w:rPr>
          <w:rFonts w:cs="Palatino" w:ascii="Palatino" w:hAnsi="Palatino"/>
        </w:rPr>
        <w:t>Access to transmission network information; and</w:t>
      </w:r>
    </w:p>
    <w:p>
      <w:pPr>
        <w:pStyle w:val="Normal"/>
        <w:numPr>
          <w:ilvl w:val="0"/>
          <w:numId w:val="5"/>
        </w:numPr>
        <w:rPr>
          <w:rFonts w:ascii="Palatino" w:hAnsi="Palatino" w:cs="Palatino"/>
        </w:rPr>
      </w:pPr>
      <w:r>
        <w:rPr>
          <w:rFonts w:cs="Palatino" w:ascii="Palatino" w:hAnsi="Palatino"/>
        </w:rPr>
        <w:t>Access to information supporting costs.</w:t>
      </w:r>
    </w:p>
    <w:p>
      <w:pPr>
        <w:pStyle w:val="Footer"/>
        <w:tabs>
          <w:tab w:val="clear" w:pos="4320"/>
          <w:tab w:val="clear" w:pos="8640"/>
        </w:tabs>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t xml:space="preserve">This information should ideally be provided via an internet-based interactive bulletin board.  In the early stages of reform, the incumbent utilities are unlikely to appreciate the extent to which access to information is required in a competitive market.  Utilities are understandably concerned about divulging commercially sensitive information and adopt a cautious approach to information disclosure.  MITI needs to be vigilant in monitoring information disclosure.  MITI has recently agreed to issue guidelines on information disclosure.  MITI should be encouraged to develop these guidelines as soon as possible in consultation with industry participants.  </w:t>
      </w:r>
    </w:p>
    <w:p>
      <w:pPr>
        <w:pStyle w:val="Normal"/>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t xml:space="preserve">MITI should be encouraged to enact measures to ensure a transparent process for setting wheeling tariffs.  MITI should require the utilities to publicly disclose the supporting cost data and related calculations that result in the final rates (including regulated end-user rates).  This will serve to ensure that utilities offer the basic required services at cost, including a fair return on only the assets necessary to provide these services, thereby encouraging competition and promoting public confidence.     </w:t>
      </w:r>
    </w:p>
    <w:p>
      <w:pPr>
        <w:pStyle w:val="Normal"/>
        <w:rPr>
          <w:rFonts w:ascii="Palatino" w:hAnsi="Palatino" w:cs="Palatino"/>
        </w:rPr>
      </w:pPr>
      <w:r>
        <w:rPr>
          <w:rFonts w:cs="Palatino" w:ascii="Palatino" w:hAnsi="Palatino"/>
        </w:rPr>
      </w:r>
    </w:p>
    <w:p>
      <w:pPr>
        <w:pStyle w:val="Normal"/>
        <w:rPr>
          <w:rFonts w:ascii="Palatino" w:hAnsi="Palatino" w:cs="Palatino"/>
          <w:b/>
        </w:rPr>
      </w:pPr>
      <w:r>
        <w:rPr>
          <w:rFonts w:cs="Palatino" w:ascii="Palatino" w:hAnsi="Palatino"/>
          <w:b/>
        </w:rPr>
        <w:t>Utility Unbundling</w:t>
      </w:r>
    </w:p>
    <w:p>
      <w:pPr>
        <w:pStyle w:val="Normal"/>
        <w:rPr>
          <w:rFonts w:ascii="Palatino" w:hAnsi="Palatino" w:cs="Palatino"/>
        </w:rPr>
      </w:pPr>
      <w:r>
        <w:rPr>
          <w:rFonts w:cs="Palatino" w:ascii="Palatino" w:hAnsi="Palatino"/>
        </w:rPr>
        <w:t xml:space="preserve">The utilities have agreed to ring fence their transmission and operational functions.  MITI should go further and require the complete unbundling of the utilities and the establishment of an independent transmission manager. New entrants have experienced difficulties in obtaining load following services at commercially acceptable rates. The establishment of an independent transmission manager would assist in addressing this issue. </w:t>
      </w:r>
    </w:p>
    <w:p>
      <w:pPr>
        <w:pStyle w:val="Normal"/>
        <w:rPr>
          <w:rFonts w:ascii="Palatino" w:hAnsi="Palatino" w:cs="Palatino"/>
        </w:rPr>
      </w:pPr>
      <w:r>
        <w:rPr>
          <w:rFonts w:cs="Palatino" w:ascii="Palatino" w:hAnsi="Palatino"/>
        </w:rPr>
      </w:r>
    </w:p>
    <w:p>
      <w:pPr>
        <w:pStyle w:val="Normal"/>
        <w:rPr>
          <w:rFonts w:ascii="Palatino" w:hAnsi="Palatino" w:cs="Palatino"/>
          <w:b/>
        </w:rPr>
      </w:pPr>
      <w:r>
        <w:rPr>
          <w:rFonts w:cs="Palatino" w:ascii="Palatino" w:hAnsi="Palatino"/>
          <w:b/>
        </w:rPr>
        <w:t>Anti competitive Practices</w:t>
      </w:r>
    </w:p>
    <w:p>
      <w:pPr>
        <w:pStyle w:val="Normal"/>
        <w:rPr>
          <w:rFonts w:ascii="Palatino" w:hAnsi="Palatino" w:cs="Palatino"/>
        </w:rPr>
      </w:pPr>
      <w:r>
        <w:rPr>
          <w:rFonts w:cs="Palatino" w:ascii="Palatino" w:hAnsi="Palatino"/>
        </w:rPr>
        <w:t xml:space="preserve">It is a significant transition for the incumbent utilities to move from a regulated monopoly to a competitive environment.  Partial competition usually highlights certain practices that are considered anti competitive in a competitive environment, such as cross subsidization. There may be instances (unintentional or otherwise) of anti competitive practices  – practices such as cross subsidization, predatory pricing or coordinated actions. In addition, there have been questions raised about whether incumbent utilities are offering fair cost based rates to new entrants and whether incumbent utilities are abusing their dominant position in the market. </w:t>
      </w:r>
    </w:p>
    <w:p>
      <w:pPr>
        <w:pStyle w:val="Normal"/>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t xml:space="preserve">MITI has indicated that it will expand and clarify the fair trade guidelines. We would encourage MITI and the FTC should be encouraged to expand and clarify the guidelines as soon as possible in consultation with industry participants. </w:t>
      </w:r>
    </w:p>
    <w:p>
      <w:pPr>
        <w:pStyle w:val="Normal"/>
        <w:rPr>
          <w:rFonts w:ascii="Palatino" w:hAnsi="Palatino" w:cs="Palatino"/>
        </w:rPr>
      </w:pPr>
      <w:r>
        <w:rPr>
          <w:rFonts w:cs="Palatino" w:ascii="Palatino" w:hAnsi="Palatino"/>
        </w:rPr>
      </w:r>
    </w:p>
    <w:p>
      <w:pPr>
        <w:pStyle w:val="Heading2"/>
        <w:ind w:hanging="0" w:start="0"/>
        <w:rPr>
          <w:rFonts w:ascii="Palatino" w:hAnsi="Palatino" w:cs="Palatino"/>
        </w:rPr>
      </w:pPr>
      <w:r>
        <w:rPr>
          <w:rFonts w:cs="Palatino" w:ascii="Palatino" w:hAnsi="Palatino"/>
        </w:rPr>
        <w:t xml:space="preserve">Dispute Resolution </w:t>
      </w:r>
    </w:p>
    <w:p>
      <w:pPr>
        <w:pStyle w:val="Normal"/>
        <w:rPr>
          <w:rFonts w:ascii="Palatino" w:hAnsi="Palatino" w:cs="Palatino"/>
        </w:rPr>
      </w:pPr>
      <w:r>
        <w:rPr>
          <w:rFonts w:cs="Palatino" w:ascii="Palatino" w:hAnsi="Palatino"/>
        </w:rPr>
        <w:t>The prescriptive nature of the guidelines combined with the structure of the dispute resolution process is likely to result in a process that will be quite confrontational.  Further, it is likely that the number of disputes brought before MITI could be significant.  The dispute resolution process should be reviewed to provide, in the first instance, a less formal means by which participants can refer disputes to MITI such as mediation.</w:t>
      </w:r>
    </w:p>
    <w:p>
      <w:pPr>
        <w:pStyle w:val="Normal"/>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t>MITI has to date implemented reforms in the electricity sector with relatively limited staff.  Without further resources it is likely to be difficult for MITI to effectively monitor and review compliance with the Electricity Utility Industry Law and related regulations.  MITI has indicated that it will deploy further resources to implement and enforce the rules.  MITI should be encouraged to do so as soon as possible.</w:t>
      </w:r>
    </w:p>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Palatino" w:hAnsi="Palatino" w:cs="Palatino"/>
        <w:sz w:val="16"/>
      </w:rPr>
    </w:pPr>
    <w:r>
      <w:rPr>
        <w:rFonts w:cs="Palatino" w:ascii="Palatino" w:hAnsi="Palatino"/>
        <w:sz w:val="16"/>
      </w:rPr>
      <w:t>Participation-Text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Palatino" w:hAnsi="Palatino" w:cs="Palatino"/>
        <w:sz w:val="16"/>
      </w:rPr>
    </w:pPr>
    <w:r>
      <w:rPr>
        <w:rFonts w:cs="Palatino" w:ascii="Palatino" w:hAnsi="Palatino"/>
        <w:sz w:val="16"/>
      </w:rPr>
      <w:t>Participation-Text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Palatino" w:hAnsi="Palatino" w:cs="Palatino"/>
        <w:sz w:val="16"/>
      </w:rPr>
    </w:pPr>
    <w:r>
      <w:rPr>
        <w:rFonts w:cs="Palatino" w:ascii="Palatino" w:hAnsi="Palatino"/>
        <w:sz w:val="16"/>
      </w:rPr>
      <w:t>Participation-Text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ind w:start="720" w:hanging="360"/>
      </w:pPr>
      <w:rPr>
        <w:rFonts w:ascii="Times New Roman" w:hAnsi="Times New Roman" w:cs="Times New Roman"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720"/>
        </w:tabs>
        <w:ind w:start="720" w:hanging="360"/>
      </w:pPr>
      <w:rPr>
        <w:rFonts w:ascii="Wingdings" w:hAnsi="Wingdings" w:cs="Wingdings" w:hint="default"/>
      </w:rPr>
    </w:lvl>
    <w:lvl w:ilvl="3">
      <w:start w:val="1"/>
      <w:numFmt w:val="bullet"/>
      <w:lvlText w:val=""/>
      <w:lvlJc w:val="start"/>
      <w:pPr>
        <w:tabs>
          <w:tab w:val="num" w:pos="720"/>
        </w:tabs>
        <w:ind w:start="1440" w:hanging="360"/>
      </w:pPr>
      <w:rPr>
        <w:rFonts w:ascii="Symbol" w:hAnsi="Symbol" w:cs="Symbol" w:hint="default"/>
      </w:rPr>
    </w:lvl>
    <w:lvl w:ilvl="4">
      <w:start w:val="1"/>
      <w:numFmt w:val="bullet"/>
      <w:lvlText w:val="o"/>
      <w:lvlJc w:val="start"/>
      <w:pPr>
        <w:tabs>
          <w:tab w:val="num" w:pos="2160"/>
        </w:tabs>
        <w:ind w:start="2160" w:hanging="360"/>
      </w:pPr>
      <w:rPr>
        <w:rFonts w:ascii="Courier New" w:hAnsi="Courier New" w:cs="Courier New"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600"/>
        </w:tabs>
        <w:ind w:start="3600" w:hanging="360"/>
      </w:pPr>
      <w:rPr>
        <w:rFonts w:ascii="Symbol" w:hAnsi="Symbol" w:cs="Symbol" w:hint="default"/>
      </w:rPr>
    </w:lvl>
    <w:lvl w:ilvl="7">
      <w:start w:val="1"/>
      <w:numFmt w:val="bullet"/>
      <w:lvlText w:val="o"/>
      <w:lvlJc w:val="start"/>
      <w:pPr>
        <w:tabs>
          <w:tab w:val="num" w:pos="4320"/>
        </w:tabs>
        <w:ind w:start="4320" w:hanging="360"/>
      </w:pPr>
      <w:rPr>
        <w:rFonts w:ascii="Courier New" w:hAnsi="Courier New" w:cs="Courier New" w:hint="default"/>
      </w:rPr>
    </w:lvl>
    <w:lvl w:ilvl="8">
      <w:start w:val="1"/>
      <w:numFmt w:val="bullet"/>
      <w:lvlText w:val=""/>
      <w:lvlJc w:val="start"/>
      <w:pPr>
        <w:tabs>
          <w:tab w:val="num" w:pos="5040"/>
        </w:tabs>
        <w:ind w:start="5040" w:hanging="360"/>
      </w:pPr>
      <w:rPr>
        <w:rFonts w:ascii="Wingdings" w:hAnsi="Wingdings" w:cs="Wingdings"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bullet"/>
      <w:lvlText w:val=""/>
      <w:lvlJc w:val="start"/>
      <w:pPr>
        <w:tabs>
          <w:tab w:val="num" w:pos="360"/>
        </w:tabs>
        <w:ind w:start="360" w:hanging="360"/>
      </w:pPr>
      <w:rPr>
        <w:rFonts w:ascii="Symbol" w:hAnsi="Symbol" w:cs="Symbol" w:hint="default"/>
        <w:sz w:val="16"/>
        <w:color w:val="000000"/>
      </w:rPr>
    </w:lvl>
    <w:lvl w:ilvl="1">
      <w:start w:val="1"/>
      <w:numFmt w:val="bullet"/>
      <w:lvlText w:val="o"/>
      <w:lvlJc w:val="start"/>
      <w:pPr>
        <w:tabs>
          <w:tab w:val="num" w:pos="360"/>
        </w:tabs>
        <w:ind w:start="360" w:hanging="360"/>
      </w:pPr>
      <w:rPr>
        <w:rFonts w:ascii="Courier New" w:hAnsi="Courier New" w:cs="Courier New"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o"/>
      <w:lvlJc w:val="start"/>
      <w:pPr>
        <w:tabs>
          <w:tab w:val="num" w:pos="2520"/>
        </w:tabs>
        <w:ind w:start="2520" w:hanging="360"/>
      </w:pPr>
      <w:rPr>
        <w:rFonts w:ascii="Courier New" w:hAnsi="Courier New" w:cs="Courier New" w:hint="default"/>
      </w:rPr>
    </w:lvl>
    <w:lvl w:ilvl="5">
      <w:start w:val="1"/>
      <w:numFmt w:val="bullet"/>
      <w:lvlText w:val=""/>
      <w:lvlJc w:val="start"/>
      <w:pPr>
        <w:tabs>
          <w:tab w:val="num" w:pos="3240"/>
        </w:tabs>
        <w:ind w:start="3240" w:hanging="360"/>
      </w:pPr>
      <w:rPr>
        <w:rFonts w:ascii="Wingdings" w:hAnsi="Wingdings" w:cs="Wingdings" w:hint="default"/>
      </w:rPr>
    </w:lvl>
    <w:lvl w:ilvl="6">
      <w:start w:val="1"/>
      <w:numFmt w:val="bullet"/>
      <w:lvlText w:val=""/>
      <w:lvlJc w:val="start"/>
      <w:pPr>
        <w:tabs>
          <w:tab w:val="num" w:pos="3960"/>
        </w:tabs>
        <w:ind w:start="3960" w:hanging="360"/>
      </w:pPr>
      <w:rPr>
        <w:rFonts w:ascii="Symbol" w:hAnsi="Symbol" w:cs="Symbol" w:hint="default"/>
      </w:rPr>
    </w:lvl>
    <w:lvl w:ilvl="7">
      <w:start w:val="1"/>
      <w:numFmt w:val="bullet"/>
      <w:lvlText w:val="o"/>
      <w:lvlJc w:val="start"/>
      <w:pPr>
        <w:tabs>
          <w:tab w:val="num" w:pos="4680"/>
        </w:tabs>
        <w:ind w:start="4680" w:hanging="360"/>
      </w:pPr>
      <w:rPr>
        <w:rFonts w:ascii="Courier New" w:hAnsi="Courier New" w:cs="Courier New" w:hint="default"/>
      </w:rPr>
    </w:lvl>
    <w:lvl w:ilvl="8">
      <w:start w:val="1"/>
      <w:numFmt w:val="bullet"/>
      <w:lvlText w:val=""/>
      <w:lvlJc w:val="start"/>
      <w:pPr>
        <w:tabs>
          <w:tab w:val="num" w:pos="5400"/>
        </w:tabs>
        <w:ind w:start="540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color w:val="000000"/>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Cs w:val="20"/>
    </w:rPr>
  </w:style>
  <w:style w:type="paragraph" w:styleId="BodyText">
    <w:name w:val="Body Text"/>
    <w:basedOn w:val="Normal"/>
    <w:pPr/>
    <w:rPr>
      <w:rFonts w:ascii="Palatino" w:hAnsi="Palatino" w:cs="Palatino"/>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2000-08-31T23:41:00Z</dcterms:created>
  <dc:creator>mimai</dc:creator>
  <dc:description/>
  <dc:language>en-CA</dc:language>
  <cp:lastModifiedBy>mimai</cp:lastModifiedBy>
  <cp:lastPrinted>2000-09-18T14:13:00Z</cp:lastPrinted>
  <dcterms:modified xsi:type="dcterms:W3CDTF">2000-09-19T22:38:00Z</dcterms:modified>
  <cp:revision>21</cp:revision>
  <dc:subject/>
  <dc:title>How Can I Participate in the Market</dc:title>
</cp:coreProperties>
</file>