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cs="Palatino" w:ascii="Palatino" w:hAnsi="Palatino"/>
          <w:b w:val="false"/>
          <w:bCs/>
          <w:sz w:val="28"/>
        </w:rPr>
        <w:t xml:space="preserve">Question </w:t>
      </w:r>
      <w:r>
        <w:rPr>
          <w:rFonts w:cs="Palatino" w:ascii="Palatino" w:hAnsi="Palatino"/>
          <w:b w:val="false"/>
          <w:bCs/>
          <w:sz w:val="28"/>
        </w:rPr>
        <w:t>4</w:t>
      </w:r>
    </w:p>
    <w:p>
      <w:pPr>
        <w:pStyle w:val="Heading1"/>
        <w:tabs>
          <w:tab w:val="clear" w:pos="720"/>
          <w:tab w:val="left" w:pos="1440" w:leader="none"/>
        </w:tabs>
        <w:ind w:hanging="0" w:start="0"/>
        <w:jc w:val="center"/>
        <w:rPr>
          <w:rFonts w:ascii="Palatino" w:hAnsi="Palatino" w:cs="Palatino"/>
          <w:b w:val="false"/>
          <w:bCs w:val="false"/>
          <w:sz w:val="28"/>
        </w:rPr>
      </w:pPr>
      <w:r>
        <w:rPr>
          <w:rFonts w:cs="Palatino" w:ascii="Palatino" w:hAnsi="Palatino"/>
          <w:b w:val="false"/>
          <w:bCs w:val="false"/>
          <w:sz w:val="28"/>
        </w:rPr>
      </w:r>
    </w:p>
    <w:p>
      <w:pPr>
        <w:pStyle w:val="Heading2"/>
        <w:tabs>
          <w:tab w:val="clear" w:pos="720"/>
          <w:tab w:val="left" w:pos="1440" w:leader="none"/>
        </w:tabs>
        <w:ind w:hanging="0" w:start="0"/>
        <w:rPr>
          <w:rFonts w:ascii="Palatino" w:hAnsi="Palatino" w:cs="Palatino"/>
          <w:sz w:val="32"/>
        </w:rPr>
      </w:pPr>
      <w:r>
        <w:rPr>
          <w:rFonts w:cs="Palatino" w:ascii="Palatino" w:hAnsi="Palatino"/>
          <w:sz w:val="32"/>
        </w:rPr>
        <w:t>Exciting opportunities exist in Japan’s new electricity market - How can you participate?</w:t>
      </w:r>
    </w:p>
    <w:p>
      <w:pPr>
        <w:pStyle w:val="Normal"/>
        <w:tabs>
          <w:tab w:val="clear" w:pos="720"/>
          <w:tab w:val="left" w:pos="1440" w:leader="none"/>
        </w:tabs>
        <w:rPr>
          <w:rFonts w:ascii="Palatino" w:hAnsi="Palatino" w:cs="Palatino"/>
          <w:sz w:val="32"/>
        </w:rPr>
      </w:pPr>
      <w:r>
        <w:rPr>
          <w:rFonts w:cs="Palatino" w:ascii="Palatino" w:hAnsi="Palatino"/>
          <w:sz w:val="32"/>
        </w:rPr>
      </w:r>
    </w:p>
    <w:p>
      <w:pPr>
        <w:pStyle w:val="BodyText"/>
        <w:rPr>
          <w:rFonts w:ascii="Palatino" w:hAnsi="Palatino" w:cs="Palatino"/>
          <w:lang w:eastAsia="ja-JP"/>
        </w:rPr>
      </w:pPr>
      <w:r>
        <w:rPr>
          <w:rFonts w:cs="Palatino"/>
          <w:lang w:eastAsia="ja-JP"/>
        </w:rPr>
      </w:r>
    </w:p>
    <w:p>
      <w:pPr>
        <w:pStyle w:val="BodyText"/>
        <w:rPr/>
      </w:pPr>
      <w:r>
        <w:rPr>
          <w:lang w:eastAsia="ja-JP"/>
        </w:rPr>
        <w:t>Japan’s new electricity market is not restricted to electricity utilities and large industrials.</w:t>
      </w:r>
      <w:r>
        <w:rPr>
          <w:sz w:val="28"/>
          <w:lang w:eastAsia="ja-JP"/>
        </w:rPr>
        <w:t xml:space="preserve"> </w:t>
      </w:r>
      <w:r>
        <w:rPr>
          <w:b w:val="false"/>
          <w:bCs w:val="false"/>
          <w:lang w:eastAsia="ja-JP"/>
        </w:rPr>
        <w:t>Already a diverse number of companies have signaled an intention to enter the market, including:</w:t>
      </w:r>
    </w:p>
    <w:p>
      <w:pPr>
        <w:pStyle w:val="BodyText"/>
        <w:rPr>
          <w:rFonts w:eastAsia="Palatino"/>
          <w:b w:val="false"/>
          <w:bCs w:val="false"/>
          <w:lang w:eastAsia="ja-JP"/>
        </w:rPr>
      </w:pPr>
      <w:r>
        <w:rPr>
          <w:rFonts w:eastAsia="Palatino"/>
          <w:b w:val="false"/>
          <w:bCs w:val="false"/>
          <w:lang w:eastAsia="ja-JP"/>
        </w:rPr>
        <w:t xml:space="preserve"> </w:t>
      </w:r>
    </w:p>
    <w:p>
      <w:pPr>
        <w:pStyle w:val="Normal"/>
        <w:numPr>
          <w:ilvl w:val="0"/>
          <w:numId w:val="2"/>
        </w:numPr>
        <w:rPr>
          <w:rFonts w:ascii="Palatino" w:hAnsi="Palatino" w:cs="Palatino"/>
        </w:rPr>
      </w:pPr>
      <w:r>
        <w:rPr>
          <w:rFonts w:cs="Palatino" w:ascii="Palatino" w:hAnsi="Palatino"/>
        </w:rPr>
        <w:t>Banks and financial institutions</w:t>
      </w:r>
    </w:p>
    <w:p>
      <w:pPr>
        <w:pStyle w:val="Normal"/>
        <w:numPr>
          <w:ilvl w:val="0"/>
          <w:numId w:val="2"/>
        </w:numPr>
        <w:rPr>
          <w:rFonts w:ascii="Palatino" w:hAnsi="Palatino" w:cs="Palatino"/>
        </w:rPr>
      </w:pPr>
      <w:r>
        <w:rPr>
          <w:rFonts w:cs="Palatino" w:ascii="Palatino" w:hAnsi="Palatino"/>
        </w:rPr>
        <w:t>Trading houses</w:t>
      </w:r>
    </w:p>
    <w:p>
      <w:pPr>
        <w:pStyle w:val="Normal"/>
        <w:numPr>
          <w:ilvl w:val="0"/>
          <w:numId w:val="2"/>
        </w:numPr>
        <w:rPr>
          <w:rFonts w:ascii="Palatino" w:hAnsi="Palatino" w:cs="Palatino"/>
        </w:rPr>
      </w:pPr>
      <w:r>
        <w:rPr>
          <w:rFonts w:cs="Palatino" w:ascii="Palatino" w:hAnsi="Palatino"/>
        </w:rPr>
        <w:t>Private commodities exchanges</w:t>
      </w:r>
    </w:p>
    <w:p>
      <w:pPr>
        <w:pStyle w:val="Normal"/>
        <w:numPr>
          <w:ilvl w:val="0"/>
          <w:numId w:val="2"/>
        </w:numPr>
        <w:rPr>
          <w:rFonts w:ascii="Palatino" w:hAnsi="Palatino" w:cs="Palatino"/>
        </w:rPr>
      </w:pPr>
      <w:r>
        <w:rPr>
          <w:rFonts w:cs="Palatino" w:ascii="Palatino" w:hAnsi="Palatino"/>
        </w:rPr>
        <w:t>Gas utilities</w:t>
      </w:r>
    </w:p>
    <w:p>
      <w:pPr>
        <w:pStyle w:val="Normal"/>
        <w:numPr>
          <w:ilvl w:val="0"/>
          <w:numId w:val="2"/>
        </w:numPr>
        <w:rPr>
          <w:rFonts w:ascii="Palatino" w:hAnsi="Palatino" w:cs="Palatino"/>
        </w:rPr>
      </w:pPr>
      <w:r>
        <w:rPr>
          <w:rFonts w:cs="Palatino" w:ascii="Palatino" w:hAnsi="Palatino"/>
        </w:rPr>
        <w:t>Communications companies</w:t>
      </w:r>
    </w:p>
    <w:p>
      <w:pPr>
        <w:pStyle w:val="Normal"/>
        <w:numPr>
          <w:ilvl w:val="0"/>
          <w:numId w:val="2"/>
        </w:numPr>
        <w:rPr>
          <w:rFonts w:ascii="Palatino" w:hAnsi="Palatino" w:cs="Palatino"/>
        </w:rPr>
      </w:pPr>
      <w:r>
        <w:rPr>
          <w:rFonts w:cs="Palatino" w:ascii="Palatino" w:hAnsi="Palatino"/>
        </w:rPr>
        <w:t>Other non-traditional companies</w:t>
      </w:r>
    </w:p>
    <w:p>
      <w:pPr>
        <w:pStyle w:val="Normal"/>
        <w:rPr>
          <w:rFonts w:ascii="Palatino" w:hAnsi="Palatino" w:cs="Palatino"/>
        </w:rPr>
      </w:pPr>
      <w:r>
        <w:rPr>
          <w:rFonts w:cs="Palatino" w:ascii="Palatino" w:hAnsi="Palatino"/>
        </w:rPr>
      </w:r>
    </w:p>
    <w:p>
      <w:pPr>
        <w:pStyle w:val="Normal"/>
        <w:tabs>
          <w:tab w:val="clear" w:pos="720"/>
          <w:tab w:val="left" w:pos="1440" w:leader="none"/>
        </w:tabs>
        <w:rPr>
          <w:rFonts w:ascii="Palatino" w:hAnsi="Palatino" w:cs="Palatino"/>
          <w:b/>
          <w:bCs/>
          <w:sz w:val="28"/>
        </w:rPr>
      </w:pPr>
      <w:r>
        <w:rPr>
          <w:rFonts w:cs="Palatino" w:ascii="Palatino" w:hAnsi="Palatino"/>
          <w:b/>
          <w:bCs/>
          <w:sz w:val="28"/>
        </w:rPr>
        <w:t>Japan’s market size points to significant business potential for new entrants</w:t>
      </w:r>
    </w:p>
    <w:p>
      <w:pPr>
        <w:pStyle w:val="Normal"/>
        <w:rPr>
          <w:rFonts w:ascii="Palatino" w:hAnsi="Palatino" w:cs="Palatino"/>
          <w:b/>
          <w:bCs/>
          <w:sz w:val="28"/>
        </w:rPr>
      </w:pPr>
      <w:r>
        <w:rPr>
          <w:rFonts w:cs="Palatino" w:ascii="Palatino" w:hAnsi="Palatino"/>
          <w:b/>
          <w:bCs/>
          <w:sz w:val="28"/>
        </w:rPr>
      </w:r>
    </w:p>
    <w:p>
      <w:pPr>
        <w:pStyle w:val="BodyText"/>
        <w:rPr/>
      </w:pPr>
      <w:r>
        <w:rPr>
          <w:b w:val="false"/>
          <w:bCs w:val="false"/>
          <w:lang w:eastAsia="ja-JP"/>
        </w:rPr>
        <w:t xml:space="preserve">The second phase </w:t>
      </w:r>
      <w:r>
        <w:rPr>
          <w:b w:val="false"/>
          <w:bCs w:val="false"/>
          <w:lang w:eastAsia="ja-JP"/>
        </w:rPr>
        <w:t xml:space="preserve">of electricity deregulation </w:t>
      </w:r>
      <w:r>
        <w:rPr>
          <w:b w:val="false"/>
          <w:bCs w:val="false"/>
          <w:lang w:eastAsia="ja-JP"/>
        </w:rPr>
        <w:t>commenced in March 2000 with the introduction of retail competition</w:t>
      </w:r>
      <w:r>
        <w:rPr>
          <w:b w:val="false"/>
          <w:bCs w:val="false"/>
          <w:lang w:eastAsia="ja-JP"/>
        </w:rPr>
        <w:t xml:space="preserve">. While only about 24% of the market has been liberalized, this represents about 8,300 large </w:t>
      </w:r>
      <w:r>
        <w:rPr>
          <w:b w:val="false"/>
          <w:bCs w:val="false"/>
        </w:rPr>
        <w:t>customers using over 2MW via the 20kV network</w:t>
      </w:r>
      <w:r>
        <w:rPr>
          <w:b w:val="false"/>
          <w:bCs w:val="false"/>
          <w:lang w:eastAsia="ja-JP"/>
        </w:rPr>
        <w:t>.</w:t>
      </w:r>
      <w:r>
        <w:rPr>
          <w:b w:val="false"/>
          <w:bCs w:val="false"/>
          <w:lang w:eastAsia="ja-JP"/>
        </w:rPr>
        <w:t xml:space="preserve"> These customers are estimated to consume about 219TWh a year out of a total of 926TWh. Relative to other contestable markets, Japan’s market is significant.</w:t>
      </w:r>
    </w:p>
    <w:p>
      <w:pPr>
        <w:pStyle w:val="BodyText"/>
        <w:jc w:val="center"/>
        <w:rPr>
          <w:b w:val="false"/>
          <w:bCs w:val="false"/>
          <w:lang w:eastAsia="ja-JP"/>
        </w:rPr>
      </w:pPr>
      <w:r>
        <w:rPr>
          <w:b w:val="false"/>
          <w:bCs w:val="false"/>
          <w:lang w:eastAsia="ja-JP"/>
        </w:rPr>
        <w:t>[Contestible and total market comparison graph]</w:t>
      </w:r>
    </w:p>
    <w:p>
      <w:pPr>
        <w:pStyle w:val="BodyText"/>
        <w:rPr>
          <w:rFonts w:eastAsia="Palatino"/>
          <w:b w:val="false"/>
          <w:bCs w:val="false"/>
          <w:lang w:eastAsia="ja-JP"/>
        </w:rPr>
      </w:pPr>
      <w:r>
        <w:rPr>
          <w:rFonts w:eastAsia="Palatino"/>
          <w:b w:val="false"/>
          <w:bCs w:val="false"/>
          <w:lang w:eastAsia="ja-JP"/>
        </w:rPr>
        <w:t xml:space="preserve">  </w:t>
      </w:r>
    </w:p>
    <w:p>
      <w:pPr>
        <w:pStyle w:val="BodyText"/>
        <w:rPr>
          <w:b w:val="false"/>
          <w:bCs w:val="false"/>
          <w:lang w:eastAsia="ja-JP"/>
        </w:rPr>
      </w:pPr>
      <w:r>
        <w:rPr>
          <w:b w:val="false"/>
          <w:bCs w:val="false"/>
          <w:lang w:eastAsia="ja-JP"/>
        </w:rPr>
      </w:r>
    </w:p>
    <w:p>
      <w:pPr>
        <w:pStyle w:val="Normal"/>
        <w:tabs>
          <w:tab w:val="clear" w:pos="720"/>
          <w:tab w:val="left" w:pos="1440" w:leader="none"/>
        </w:tabs>
        <w:rPr>
          <w:rFonts w:ascii="Palatino" w:hAnsi="Palatino" w:cs="Palatino"/>
          <w:b/>
          <w:bCs/>
          <w:sz w:val="28"/>
        </w:rPr>
      </w:pPr>
      <w:r>
        <w:rPr>
          <w:rFonts w:cs="Palatino" w:ascii="Palatino" w:hAnsi="Palatino"/>
          <w:b/>
          <w:bCs/>
          <w:sz w:val="28"/>
        </w:rPr>
        <w:t>The liberalized electricity market is creating new business opportunities for service providers</w:t>
      </w:r>
    </w:p>
    <w:p>
      <w:pPr>
        <w:pStyle w:val="BodyText"/>
        <w:rPr>
          <w:rFonts w:ascii="Palatino" w:hAnsi="Palatino" w:cs="Palatino"/>
          <w:b w:val="false"/>
          <w:bCs w:val="false"/>
          <w:sz w:val="28"/>
          <w:lang w:eastAsia="ja-JP"/>
        </w:rPr>
      </w:pPr>
      <w:r>
        <w:rPr>
          <w:rFonts w:cs="Palatino"/>
          <w:b w:val="false"/>
          <w:bCs w:val="false"/>
          <w:sz w:val="28"/>
          <w:lang w:eastAsia="ja-JP"/>
        </w:rPr>
      </w:r>
    </w:p>
    <w:p>
      <w:pPr>
        <w:pStyle w:val="Normal"/>
        <w:tabs>
          <w:tab w:val="clear" w:pos="720"/>
          <w:tab w:val="left" w:pos="1440" w:leader="none"/>
        </w:tabs>
        <w:rPr>
          <w:rFonts w:ascii="Palatino" w:hAnsi="Palatino" w:cs="Palatino"/>
        </w:rPr>
      </w:pPr>
      <w:r>
        <w:rPr>
          <w:rFonts w:cs="Palatino" w:ascii="Palatino" w:hAnsi="Palatino"/>
        </w:rPr>
        <w:t>Competition in the electricity industry will encourage companies to re-examine their core businesses, identify what they do best and out-source non-core activities. For example, some large industrials not skilled in purchasing electricity have already outsourced their electricity purchases to specialist commodity managers.</w:t>
      </w:r>
    </w:p>
    <w:p>
      <w:pPr>
        <w:pStyle w:val="Normal"/>
        <w:tabs>
          <w:tab w:val="clear" w:pos="720"/>
          <w:tab w:val="left" w:pos="1440" w:leader="none"/>
        </w:tabs>
        <w:rPr>
          <w:rFonts w:ascii="Palatino" w:hAnsi="Palatino" w:cs="Palatino"/>
        </w:rPr>
      </w:pPr>
      <w:r>
        <w:rPr>
          <w:rFonts w:cs="Palatino" w:ascii="Palatino" w:hAnsi="Palatino"/>
        </w:rPr>
      </w:r>
    </w:p>
    <w:p>
      <w:pPr>
        <w:pStyle w:val="Normal"/>
        <w:tabs>
          <w:tab w:val="clear" w:pos="720"/>
          <w:tab w:val="left" w:pos="1440" w:leader="none"/>
        </w:tabs>
        <w:rPr>
          <w:rFonts w:ascii="Palatino" w:hAnsi="Palatino" w:cs="Palatino"/>
        </w:rPr>
      </w:pPr>
      <w:r>
        <w:rPr>
          <w:rFonts w:cs="Palatino" w:ascii="Palatino" w:hAnsi="Palatino"/>
        </w:rPr>
        <w:t xml:space="preserve">Competition will also encourage the entry of service providers who are specialists in particular aspects of the electricity industry. These service providers will help create a more efficient electricity market for Japan which will benefit consumers, the environment and the economy as a whole. </w:t>
      </w:r>
    </w:p>
    <w:p>
      <w:pPr>
        <w:pStyle w:val="Normal"/>
        <w:tabs>
          <w:tab w:val="clear" w:pos="720"/>
          <w:tab w:val="left" w:pos="1440" w:leader="none"/>
        </w:tabs>
        <w:rPr>
          <w:rFonts w:ascii="Palatino" w:hAnsi="Palatino" w:cs="Palatino"/>
        </w:rPr>
      </w:pPr>
      <w:r>
        <w:rPr>
          <w:rFonts w:cs="Palatino" w:ascii="Palatino" w:hAnsi="Palatino"/>
        </w:rPr>
      </w:r>
    </w:p>
    <w:p>
      <w:pPr>
        <w:pStyle w:val="Normal"/>
        <w:tabs>
          <w:tab w:val="clear" w:pos="720"/>
          <w:tab w:val="left" w:pos="1440" w:leader="none"/>
        </w:tabs>
        <w:rPr>
          <w:rFonts w:ascii="Palatino" w:hAnsi="Palatino" w:cs="Palatino"/>
        </w:rPr>
      </w:pPr>
      <w:r>
        <w:rPr>
          <w:rFonts w:cs="Palatino" w:ascii="Palatino" w:hAnsi="Palatino"/>
        </w:rPr>
        <w:t>Some of the types of service businesses new to the Japanese electricity industry include:</w:t>
      </w:r>
    </w:p>
    <w:p>
      <w:pPr>
        <w:pStyle w:val="NormalWeb"/>
        <w:tabs>
          <w:tab w:val="clear" w:pos="720"/>
          <w:tab w:val="left" w:pos="1440" w:leader="none"/>
        </w:tabs>
        <w:spacing w:before="0" w:after="0"/>
        <w:rPr>
          <w:rFonts w:ascii="Palatino" w:hAnsi="Palatino" w:eastAsia="MS Mincho;ＭＳ 明朝" w:cs="Times New Roman"/>
        </w:rPr>
      </w:pPr>
      <w:r>
        <w:rPr>
          <w:rFonts w:eastAsia="MS Mincho;ＭＳ 明朝" w:cs="Times New Roman" w:ascii="Palatino" w:hAnsi="Palatino"/>
        </w:rPr>
      </w:r>
    </w:p>
    <w:p>
      <w:pPr>
        <w:pStyle w:val="Normal"/>
        <w:tabs>
          <w:tab w:val="clear" w:pos="720"/>
          <w:tab w:val="left" w:pos="1260" w:leader="none"/>
        </w:tabs>
        <w:rPr/>
      </w:pPr>
      <w:r>
        <w:rPr>
          <w:rFonts w:cs="Palatino" w:ascii="Palatino" w:hAnsi="Palatino"/>
          <w:b/>
          <w:bCs/>
        </w:rPr>
        <w:t xml:space="preserve">Wholesale marketers. </w:t>
      </w:r>
      <w:r>
        <w:rPr>
          <w:rFonts w:cs="Palatino" w:ascii="Palatino" w:hAnsi="Palatino"/>
        </w:rPr>
        <w:t>Marketers and power aggregators buy and sell electricity on a wholesale basis in liberalized markets. They help balance changes in power supply and demand.</w:t>
      </w:r>
    </w:p>
    <w:p>
      <w:pPr>
        <w:pStyle w:val="NormalWeb"/>
        <w:spacing w:before="0" w:after="0"/>
        <w:rPr>
          <w:rFonts w:ascii="Palatino" w:hAnsi="Palatino" w:eastAsia="MS Mincho;ＭＳ 明朝" w:cs="Times New Roman"/>
        </w:rPr>
      </w:pPr>
      <w:r>
        <w:rPr>
          <w:rFonts w:eastAsia="MS Mincho;ＭＳ 明朝" w:cs="Times New Roman" w:ascii="Palatino" w:hAnsi="Palatino"/>
        </w:rPr>
      </w:r>
    </w:p>
    <w:p>
      <w:pPr>
        <w:pStyle w:val="Normal"/>
        <w:rPr/>
      </w:pPr>
      <w:r>
        <w:rPr>
          <w:rFonts w:cs="Palatino" w:ascii="Palatino" w:hAnsi="Palatino"/>
          <w:b/>
          <w:bCs/>
        </w:rPr>
        <w:t>Commodity managers.</w:t>
      </w:r>
      <w:r>
        <w:rPr>
          <w:rFonts w:cs="Palatino" w:ascii="Palatino" w:hAnsi="Palatino"/>
        </w:rPr>
        <w:t xml:space="preserve"> Commodity managers can i</w:t>
      </w:r>
      <w:r>
        <w:rPr>
          <w:rFonts w:cs="Arial" w:ascii="Palatino" w:hAnsi="Palatino"/>
          <w:szCs w:val="20"/>
        </w:rPr>
        <w:t>dentify the optimal electricity purchasing strategy for consumers. They can help consumers choose the type of energy best suited for their needs (including environmentally efficient sources) or identify their energy purchasing options.</w:t>
      </w:r>
    </w:p>
    <w:p>
      <w:pPr>
        <w:pStyle w:val="Normal"/>
        <w:rPr>
          <w:rFonts w:ascii="Palatino" w:hAnsi="Palatino" w:cs="Palatino"/>
          <w:szCs w:val="20"/>
        </w:rPr>
      </w:pPr>
      <w:r>
        <w:rPr>
          <w:rFonts w:cs="Palatino" w:ascii="Palatino" w:hAnsi="Palatino"/>
          <w:szCs w:val="20"/>
        </w:rPr>
      </w:r>
    </w:p>
    <w:p>
      <w:pPr>
        <w:pStyle w:val="Normal"/>
        <w:rPr/>
      </w:pPr>
      <w:r>
        <w:rPr>
          <w:rFonts w:cs="Arial" w:ascii="Palatino" w:hAnsi="Palatino"/>
          <w:b/>
          <w:bCs/>
          <w:szCs w:val="20"/>
        </w:rPr>
        <w:t>A</w:t>
      </w:r>
      <w:r>
        <w:rPr>
          <w:rFonts w:cs="Palatino" w:ascii="Palatino" w:hAnsi="Palatino"/>
          <w:b/>
          <w:bCs/>
        </w:rPr>
        <w:t>sset managers.</w:t>
      </w:r>
      <w:r>
        <w:rPr>
          <w:rFonts w:cs="Palatino" w:ascii="Palatino" w:hAnsi="Palatino"/>
        </w:rPr>
        <w:t xml:space="preserve"> Asset managers provide </w:t>
      </w:r>
      <w:r>
        <w:rPr>
          <w:rFonts w:cs="Arial" w:ascii="Palatino" w:hAnsi="Palatino"/>
          <w:szCs w:val="20"/>
        </w:rPr>
        <w:t>energy equipment solutions that can reduce consumer’s commodity consumption and demand charges and lower capital investment and maintenance costs.</w:t>
      </w:r>
    </w:p>
    <w:p>
      <w:pPr>
        <w:pStyle w:val="Normal"/>
        <w:rPr>
          <w:rFonts w:ascii="Palatino" w:hAnsi="Palatino" w:cs="Palatino"/>
          <w:szCs w:val="20"/>
        </w:rPr>
      </w:pPr>
      <w:r>
        <w:rPr>
          <w:rFonts w:cs="Palatino" w:ascii="Palatino" w:hAnsi="Palatino"/>
          <w:szCs w:val="20"/>
        </w:rPr>
      </w:r>
    </w:p>
    <w:p>
      <w:pPr>
        <w:pStyle w:val="Normal"/>
        <w:rPr/>
      </w:pPr>
      <w:r>
        <w:rPr>
          <w:rFonts w:cs="Palatino" w:ascii="Palatino" w:hAnsi="Palatino"/>
          <w:b/>
          <w:bCs/>
        </w:rPr>
        <w:t>Energy information managers</w:t>
      </w:r>
      <w:r>
        <w:rPr>
          <w:rFonts w:cs="Palatino" w:ascii="Palatino" w:hAnsi="Palatino"/>
        </w:rPr>
        <w:t>. Energy information managers a</w:t>
      </w:r>
      <w:r>
        <w:rPr>
          <w:rFonts w:cs="Arial" w:ascii="Palatino" w:hAnsi="Palatino"/>
          <w:szCs w:val="20"/>
        </w:rPr>
        <w:t>nalyze consumers’ billing data, streamline utility bill processing and highlight cost saving opportunities.</w:t>
      </w:r>
    </w:p>
    <w:p>
      <w:pPr>
        <w:pStyle w:val="Normal"/>
        <w:rPr>
          <w:rFonts w:ascii="Palatino" w:hAnsi="Palatino" w:cs="Palatino"/>
          <w:szCs w:val="20"/>
        </w:rPr>
      </w:pPr>
      <w:r>
        <w:rPr>
          <w:rFonts w:cs="Palatino" w:ascii="Palatino" w:hAnsi="Palatino"/>
          <w:szCs w:val="20"/>
        </w:rPr>
      </w:r>
    </w:p>
    <w:p>
      <w:pPr>
        <w:pStyle w:val="Normal"/>
        <w:rPr/>
      </w:pPr>
      <w:r>
        <w:rPr>
          <w:rFonts w:cs="Arial" w:ascii="Palatino" w:hAnsi="Palatino"/>
          <w:b/>
          <w:bCs/>
          <w:szCs w:val="20"/>
        </w:rPr>
        <w:t>F</w:t>
      </w:r>
      <w:r>
        <w:rPr>
          <w:rFonts w:cs="Palatino" w:ascii="Palatino" w:hAnsi="Palatino"/>
          <w:b/>
          <w:bCs/>
        </w:rPr>
        <w:t>acilities managers.</w:t>
      </w:r>
      <w:r>
        <w:rPr>
          <w:rFonts w:cs="Palatino" w:ascii="Palatino" w:hAnsi="Palatino"/>
        </w:rPr>
        <w:t xml:space="preserve"> </w:t>
      </w:r>
      <w:r>
        <w:rPr>
          <w:rFonts w:cs="Arial" w:ascii="Palatino" w:hAnsi="Palatino"/>
          <w:szCs w:val="20"/>
        </w:rPr>
        <w:t xml:space="preserve"> Manage the mechanical and electrical aspects of companies’processing facilities.</w:t>
      </w:r>
    </w:p>
    <w:p>
      <w:pPr>
        <w:pStyle w:val="Normal"/>
        <w:rPr>
          <w:rFonts w:ascii="Palatino" w:hAnsi="Palatino" w:cs="Palatino"/>
          <w:szCs w:val="20"/>
        </w:rPr>
      </w:pPr>
      <w:r>
        <w:rPr>
          <w:rFonts w:cs="Palatino" w:ascii="Palatino" w:hAnsi="Palatino"/>
          <w:szCs w:val="20"/>
        </w:rPr>
      </w:r>
    </w:p>
    <w:p>
      <w:pPr>
        <w:pStyle w:val="Normal"/>
        <w:rPr/>
      </w:pPr>
      <w:r>
        <w:rPr>
          <w:rFonts w:cs="Palatino" w:ascii="Palatino" w:hAnsi="Palatino"/>
          <w:b/>
          <w:bCs/>
        </w:rPr>
        <w:t>Capital managers</w:t>
      </w:r>
      <w:r>
        <w:rPr>
          <w:rFonts w:cs="Palatino" w:ascii="Palatino" w:hAnsi="Palatino"/>
        </w:rPr>
        <w:t>. Capital managers focus on providing financing solutions to satisfy consumers’ energy needs.</w:t>
      </w:r>
    </w:p>
    <w:p>
      <w:pPr>
        <w:pStyle w:val="Normal"/>
        <w:rPr>
          <w:rFonts w:ascii="Palatino" w:hAnsi="Palatino" w:cs="Palatino"/>
        </w:rPr>
      </w:pPr>
      <w:r>
        <w:rPr>
          <w:rFonts w:cs="Palatino" w:ascii="Palatino" w:hAnsi="Palatino"/>
        </w:rPr>
      </w:r>
    </w:p>
    <w:p>
      <w:pPr>
        <w:pStyle w:val="NormalWeb"/>
        <w:rPr/>
      </w:pPr>
      <w:r>
        <w:rPr>
          <w:rFonts w:cs="Palatino" w:ascii="Palatino" w:hAnsi="Palatino"/>
          <w:b/>
          <w:bCs/>
        </w:rPr>
        <w:t xml:space="preserve">Risk managers. </w:t>
      </w:r>
      <w:r>
        <w:rPr>
          <w:rFonts w:cs="Palatino" w:ascii="Palatino" w:hAnsi="Palatino"/>
        </w:rPr>
        <w:t>Assist consumers manage volatility and limit their exposure to swings in the energy marketplace. Properly utilized risk management can add predictability to businesses and lower costs.</w:t>
      </w:r>
    </w:p>
    <w:p>
      <w:pPr>
        <w:pStyle w:val="Normal"/>
        <w:rPr>
          <w:rFonts w:ascii="Palatino" w:hAnsi="Palatino" w:cs="Palatino"/>
        </w:rPr>
      </w:pPr>
      <w:r>
        <w:rPr>
          <w:rFonts w:cs="Palatino" w:ascii="Palatino" w:hAnsi="Palatino"/>
        </w:rPr>
      </w:r>
    </w:p>
    <w:p>
      <w:pPr>
        <w:pStyle w:val="Heading2"/>
        <w:ind w:hanging="0" w:start="0"/>
        <w:rPr>
          <w:rFonts w:ascii="Palatino" w:hAnsi="Palatino" w:cs="Palatino"/>
          <w:sz w:val="28"/>
        </w:rPr>
      </w:pPr>
      <w:r>
        <w:rPr>
          <w:rFonts w:cs="Palatino" w:ascii="Palatino" w:hAnsi="Palatino"/>
          <w:sz w:val="28"/>
        </w:rPr>
        <w:t>Licensing requirements for the electricity industry are not onerous</w:t>
      </w:r>
    </w:p>
    <w:p>
      <w:pPr>
        <w:pStyle w:val="Normal"/>
        <w:rPr>
          <w:rFonts w:ascii="Palatino" w:hAnsi="Palatino" w:cs="Palatino"/>
          <w:sz w:val="28"/>
        </w:rPr>
      </w:pPr>
      <w:r>
        <w:rPr>
          <w:rFonts w:cs="Palatino" w:ascii="Palatino" w:hAnsi="Palatino"/>
          <w:sz w:val="28"/>
        </w:rPr>
      </w:r>
    </w:p>
    <w:p>
      <w:pPr>
        <w:pStyle w:val="BodyText"/>
        <w:rPr>
          <w:b w:val="false"/>
          <w:bCs w:val="false"/>
        </w:rPr>
      </w:pPr>
      <w:r>
        <w:rPr>
          <w:b w:val="false"/>
          <w:bCs w:val="false"/>
        </w:rPr>
        <w:t>The licensing requirements for entry into the market in Japan are relatively straightforward, as compared with some other jurisdictions.</w:t>
      </w:r>
    </w:p>
    <w:p>
      <w:pPr>
        <w:pStyle w:val="BodyText"/>
        <w:rPr>
          <w:b w:val="false"/>
          <w:bCs w:val="false"/>
        </w:rPr>
      </w:pPr>
      <w:r>
        <w:rPr>
          <w:b w:val="false"/>
          <w:bCs w:val="false"/>
        </w:rPr>
      </w:r>
    </w:p>
    <w:p>
      <w:pPr>
        <w:pStyle w:val="BodyText"/>
        <w:rPr>
          <w:b w:val="false"/>
          <w:bCs w:val="false"/>
        </w:rPr>
      </w:pPr>
      <w:r>
        <w:rPr>
          <w:b w:val="false"/>
          <w:bCs w:val="false"/>
        </w:rPr>
        <w:t xml:space="preserve">For example, new entrants that wish to sell electricity to large-scale users simply need to notify the Ministry of International Trade and Industry in the prescribed form. Diamond Power, part of the Mitsubishi group, was the first company to provide this notification under the new competition arrangements.  </w:t>
      </w:r>
    </w:p>
    <w:p>
      <w:pPr>
        <w:pStyle w:val="Normal"/>
        <w:rPr>
          <w:b/>
          <w:bCs/>
        </w:rPr>
      </w:pPr>
      <w:r>
        <w:rPr>
          <w:b/>
          <w:bCs/>
        </w:rPr>
      </w:r>
    </w:p>
    <w:p>
      <w:pPr>
        <w:pStyle w:val="Heading2"/>
        <w:ind w:hanging="0" w:start="0"/>
        <w:rPr>
          <w:rFonts w:ascii="Palatino" w:hAnsi="Palatino" w:cs="Palatino"/>
          <w:sz w:val="28"/>
        </w:rPr>
      </w:pPr>
      <w:r>
        <w:rPr>
          <w:rFonts w:cs="Palatino" w:ascii="Palatino" w:hAnsi="Palatino"/>
          <w:sz w:val="28"/>
        </w:rPr>
      </w:r>
    </w:p>
    <w:p>
      <w:pPr>
        <w:pStyle w:val="Heading2"/>
        <w:ind w:hanging="0" w:start="0"/>
        <w:rPr>
          <w:rFonts w:ascii="Palatino" w:hAnsi="Palatino" w:cs="Palatino"/>
          <w:sz w:val="28"/>
        </w:rPr>
      </w:pPr>
      <w:r>
        <w:rPr>
          <w:rFonts w:cs="Palatino" w:ascii="Palatino" w:hAnsi="Palatino"/>
          <w:sz w:val="28"/>
        </w:rPr>
        <w:t>Some obstacles exist for new market participants</w:t>
      </w:r>
    </w:p>
    <w:p>
      <w:pPr>
        <w:pStyle w:val="Normal"/>
        <w:rPr>
          <w:rFonts w:ascii="Palatino" w:hAnsi="Palatino" w:cs="Palatino"/>
          <w:sz w:val="28"/>
        </w:rPr>
      </w:pPr>
      <w:r>
        <w:rPr>
          <w:rFonts w:cs="Palatino" w:ascii="Palatino" w:hAnsi="Palatino"/>
          <w:sz w:val="28"/>
        </w:rPr>
      </w:r>
    </w:p>
    <w:p>
      <w:pPr>
        <w:pStyle w:val="Normal"/>
        <w:rPr>
          <w:rFonts w:ascii="Palatino" w:hAnsi="Palatino" w:cs="Palatino"/>
        </w:rPr>
      </w:pPr>
      <w:r>
        <w:rPr>
          <w:rFonts w:cs="Palatino" w:ascii="Palatino" w:hAnsi="Palatino"/>
        </w:rPr>
        <w:t>The electricity reforms were a compromise between the national need for enhanced economic efficiency and the perceived needs of the general electric utilities in supporting Government policy on energy security, environment and other public interest issues. Since introduction of the reforms, MITI has been proactive in seeking to address obstacles for new entrants. However, specific concerns remain, including the following:</w:t>
      </w:r>
    </w:p>
    <w:p>
      <w:pPr>
        <w:pStyle w:val="Normal"/>
        <w:rPr>
          <w:rFonts w:ascii="Palatino" w:hAnsi="Palatino" w:cs="Palatino"/>
          <w:b/>
          <w:bCs/>
        </w:rPr>
      </w:pPr>
      <w:r>
        <w:rPr>
          <w:rFonts w:cs="Palatino" w:ascii="Palatino" w:hAnsi="Palatino"/>
          <w:b/>
          <w:bCs/>
        </w:rPr>
      </w:r>
    </w:p>
    <w:p>
      <w:pPr>
        <w:pStyle w:val="Normal"/>
        <w:numPr>
          <w:ilvl w:val="0"/>
          <w:numId w:val="3"/>
        </w:numPr>
        <w:rPr>
          <w:rFonts w:ascii="Palatino" w:hAnsi="Palatino" w:cs="Palatino"/>
          <w:b/>
          <w:bCs/>
        </w:rPr>
      </w:pPr>
      <w:r>
        <w:rPr>
          <w:rFonts w:cs="Palatino" w:ascii="Palatino" w:hAnsi="Palatino"/>
          <w:b/>
          <w:bCs/>
        </w:rPr>
        <w:t>Access to essential market information</w:t>
      </w:r>
    </w:p>
    <w:p>
      <w:pPr>
        <w:pStyle w:val="Normal"/>
        <w:numPr>
          <w:ilvl w:val="1"/>
          <w:numId w:val="3"/>
        </w:numPr>
        <w:rPr>
          <w:rFonts w:ascii="Palatino" w:hAnsi="Palatino" w:cs="Palatino"/>
        </w:rPr>
      </w:pPr>
      <w:r>
        <w:rPr>
          <w:rFonts w:cs="Palatino" w:ascii="Palatino" w:hAnsi="Palatino"/>
        </w:rPr>
        <w:t>Transmission network information</w:t>
      </w:r>
    </w:p>
    <w:p>
      <w:pPr>
        <w:pStyle w:val="Normal"/>
        <w:numPr>
          <w:ilvl w:val="1"/>
          <w:numId w:val="3"/>
        </w:numPr>
        <w:rPr>
          <w:rFonts w:ascii="Palatino" w:hAnsi="Palatino" w:cs="Palatino"/>
        </w:rPr>
      </w:pPr>
      <w:r>
        <w:rPr>
          <w:rFonts w:cs="Palatino" w:ascii="Palatino" w:hAnsi="Palatino"/>
        </w:rPr>
        <w:t>Information supporting transmission tariffs</w:t>
      </w:r>
    </w:p>
    <w:p>
      <w:pPr>
        <w:pStyle w:val="Normal"/>
        <w:ind w:start="360" w:end="0"/>
        <w:rPr>
          <w:rFonts w:ascii="Palatino" w:hAnsi="Palatino" w:cs="Palatino"/>
        </w:rPr>
      </w:pPr>
      <w:r>
        <w:rPr>
          <w:rFonts w:cs="Palatino" w:ascii="Palatino" w:hAnsi="Palatino"/>
        </w:rPr>
      </w:r>
    </w:p>
    <w:p>
      <w:pPr>
        <w:pStyle w:val="Normal"/>
        <w:numPr>
          <w:ilvl w:val="0"/>
          <w:numId w:val="3"/>
        </w:numPr>
        <w:rPr>
          <w:rFonts w:ascii="Palatino" w:hAnsi="Palatino" w:cs="Palatino"/>
          <w:b/>
          <w:bCs/>
        </w:rPr>
      </w:pPr>
      <w:r>
        <w:rPr>
          <w:rFonts w:cs="Palatino" w:ascii="Palatino" w:hAnsi="Palatino"/>
          <w:b/>
          <w:bCs/>
        </w:rPr>
        <w:t>Restrictive conditions in the utilities’ Terms and Conditions of Wheeling</w:t>
      </w:r>
    </w:p>
    <w:p>
      <w:pPr>
        <w:pStyle w:val="Normal"/>
        <w:numPr>
          <w:ilvl w:val="1"/>
          <w:numId w:val="3"/>
        </w:numPr>
        <w:rPr>
          <w:rFonts w:ascii="Palatino" w:hAnsi="Palatino" w:cs="Palatino"/>
        </w:rPr>
      </w:pPr>
      <w:r>
        <w:rPr>
          <w:rFonts w:cs="Palatino" w:ascii="Palatino" w:hAnsi="Palatino"/>
        </w:rPr>
        <w:t>Access to the transmission network</w:t>
      </w:r>
    </w:p>
    <w:p>
      <w:pPr>
        <w:pStyle w:val="Normal"/>
        <w:numPr>
          <w:ilvl w:val="1"/>
          <w:numId w:val="3"/>
        </w:numPr>
        <w:rPr>
          <w:rFonts w:ascii="Palatino" w:hAnsi="Palatino" w:cs="Palatino"/>
        </w:rPr>
      </w:pPr>
      <w:r>
        <w:rPr>
          <w:rFonts w:cs="Palatino" w:ascii="Palatino" w:hAnsi="Palatino"/>
        </w:rPr>
        <w:t>Non firm transmission</w:t>
      </w:r>
    </w:p>
    <w:p>
      <w:pPr>
        <w:pStyle w:val="Normal"/>
        <w:numPr>
          <w:ilvl w:val="1"/>
          <w:numId w:val="3"/>
        </w:numPr>
        <w:rPr>
          <w:rFonts w:ascii="Palatino" w:hAnsi="Palatino" w:cs="Palatino"/>
        </w:rPr>
      </w:pPr>
      <w:r>
        <w:rPr>
          <w:rFonts w:cs="Palatino" w:ascii="Palatino" w:hAnsi="Palatino"/>
        </w:rPr>
        <w:t>Load following limitations</w:t>
      </w:r>
    </w:p>
    <w:p>
      <w:pPr>
        <w:pStyle w:val="Normal"/>
        <w:numPr>
          <w:ilvl w:val="1"/>
          <w:numId w:val="3"/>
        </w:numPr>
        <w:rPr>
          <w:rFonts w:ascii="Palatino" w:hAnsi="Palatino" w:cs="Palatino"/>
        </w:rPr>
      </w:pPr>
      <w:r>
        <w:rPr>
          <w:rFonts w:cs="Palatino" w:ascii="Palatino" w:hAnsi="Palatino"/>
        </w:rPr>
        <w:t>Absence of consistency in terms between utilities</w:t>
      </w:r>
    </w:p>
    <w:p>
      <w:pPr>
        <w:pStyle w:val="Normal"/>
        <w:numPr>
          <w:ilvl w:val="1"/>
          <w:numId w:val="3"/>
        </w:numPr>
        <w:rPr>
          <w:rFonts w:ascii="Palatino" w:hAnsi="Palatino" w:cs="Palatino"/>
        </w:rPr>
      </w:pPr>
      <w:r>
        <w:rPr>
          <w:rFonts w:cs="Palatino" w:ascii="Palatino" w:hAnsi="Palatino"/>
        </w:rPr>
        <w:t>Slow and cumbersome application process</w:t>
      </w:r>
    </w:p>
    <w:p>
      <w:pPr>
        <w:pStyle w:val="Normal"/>
        <w:ind w:start="360" w:end="0"/>
        <w:rPr>
          <w:rFonts w:ascii="Palatino" w:hAnsi="Palatino" w:cs="Palatino"/>
        </w:rPr>
      </w:pPr>
      <w:r>
        <w:rPr>
          <w:rFonts w:cs="Palatino" w:ascii="Palatino" w:hAnsi="Palatino"/>
        </w:rPr>
      </w:r>
    </w:p>
    <w:p>
      <w:pPr>
        <w:pStyle w:val="Normal"/>
        <w:numPr>
          <w:ilvl w:val="0"/>
          <w:numId w:val="3"/>
        </w:numPr>
        <w:rPr>
          <w:b/>
          <w:bCs/>
        </w:rPr>
      </w:pPr>
      <w:r>
        <w:rPr>
          <w:rFonts w:cs="Palatino" w:ascii="Palatino" w:hAnsi="Palatino"/>
          <w:b/>
          <w:bCs/>
        </w:rPr>
        <w:t>Need for expansion of Fair Trade and Information Disclosure Guidelines</w:t>
      </w:r>
    </w:p>
    <w:p>
      <w:pPr>
        <w:pStyle w:val="Normal"/>
        <w:rPr>
          <w:b/>
          <w:bCs/>
        </w:rPr>
      </w:pPr>
      <w:r>
        <w:rPr>
          <w:b/>
          <w:bCs/>
        </w:rPr>
      </w:r>
    </w:p>
    <w:p>
      <w:pPr>
        <w:pStyle w:val="Normal"/>
        <w:numPr>
          <w:ilvl w:val="0"/>
          <w:numId w:val="3"/>
        </w:numPr>
        <w:rPr>
          <w:rFonts w:ascii="Palatino" w:hAnsi="Palatino" w:cs="Palatino"/>
          <w:b/>
          <w:bCs/>
        </w:rPr>
      </w:pPr>
      <w:r>
        <w:rPr>
          <w:rFonts w:cs="Palatino" w:ascii="Palatino" w:hAnsi="Palatino"/>
          <w:b/>
          <w:bCs/>
        </w:rPr>
        <w:t xml:space="preserve">Opaque regulatory review process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Palatino" w:hAnsi="Palatino" w:cs="Palatino"/>
        <w:sz w:val="16"/>
      </w:rPr>
    </w:pPr>
    <w:r>
      <w:rPr>
        <w:rFonts w:cs="Palatino" w:ascii="Palatino" w:hAnsi="Palatino"/>
        <w:sz w:val="16"/>
      </w:rPr>
      <w:t>Participation-Text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color w:val="000000"/>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1">
    <w:name w:val="WW8Num7z1"/>
    <w:qFormat/>
    <w:rPr>
      <w:rFonts w:ascii="Symbol" w:hAnsi="Symbol" w:cs="Symbol"/>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FF6633"/>
      <w:u w:val="single"/>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rPr>
      <w:rFonts w:ascii="Palatino" w:hAnsi="Palatino" w:cs="Palatino"/>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2000-09-28T04:45:00Z</dcterms:created>
  <dc:creator>mimai</dc:creator>
  <dc:description/>
  <dc:language>en-CA</dc:language>
  <cp:lastModifiedBy>noday</cp:lastModifiedBy>
  <cp:lastPrinted>2000-09-28T16:01:00Z</cp:lastPrinted>
  <dcterms:modified xsi:type="dcterms:W3CDTF">2000-10-03T07:55:00Z</dcterms:modified>
  <cp:revision>3</cp:revision>
  <dc:subject/>
  <dc:title>How Can I Participate in the Market</dc:title>
</cp:coreProperties>
</file>