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-62865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>
          <w:color w:val="000000"/>
          <w:sz w:val="31"/>
          <w:szCs w:val="31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Janet Dietrich, Louise Kitchen, John Lavorato, Ted Murphy,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4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April 10,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April 9,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– Enron Energy Services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$7.00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$34.81 Million</w:t>
      </w:r>
    </w:p>
    <w:p>
      <w:pPr>
        <w:pStyle w:val="Normal"/>
        <w:widowControl w:val="false"/>
        <w:tabs>
          <w:tab w:val="clear" w:pos="720"/>
          <w:tab w:val="left" w:pos="2460" w:leader="none"/>
        </w:tabs>
        <w:autoSpaceDE w:val="false"/>
        <w:rPr>
          <w:rFonts w:ascii="MS Sans Serif" w:hAnsi="MS Sans Serif" w:cs="MS Sans Serif"/>
          <w:color w:val="000000"/>
          <w:sz w:val="20"/>
          <w:szCs w:val="25"/>
        </w:rPr>
      </w:pPr>
      <w:r>
        <w:rPr>
          <w:rFonts w:cs="MS Sans Serif" w:ascii="MS Sans Serif" w:hAnsi="MS Sans Serif"/>
          <w:color w:val="000000"/>
          <w:sz w:val="20"/>
          <w:szCs w:val="25"/>
        </w:rPr>
      </w:r>
    </w:p>
    <w:p>
      <w:pPr>
        <w:pStyle w:val="Normal"/>
        <w:widowControl w:val="false"/>
        <w:tabs>
          <w:tab w:val="clear" w:pos="720"/>
          <w:tab w:val="left" w:pos="246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autoSpaceDE w:val="false"/>
        <w:spacing w:lineRule="atLeast" w:line="240"/>
        <w:ind w:hanging="1440" w:start="1440" w:end="0"/>
        <w:rPr/>
      </w:pPr>
      <w:r>
        <w:rPr>
          <w:b/>
          <w:bCs/>
          <w:color w:val="000000"/>
          <w:sz w:val="20"/>
          <w:szCs w:val="20"/>
        </w:rPr>
        <w:t>Explanation:</w:t>
      </w:r>
      <w:r>
        <w:rPr>
          <w:rFonts w:cs="MS Sans Serif" w:ascii="MS Sans Serif" w:hAnsi="MS Sans Serif"/>
          <w:sz w:val="20"/>
        </w:rPr>
        <w:tab/>
      </w:r>
    </w:p>
    <w:p>
      <w:pPr>
        <w:pStyle w:val="Normal"/>
        <w:autoSpaceDE w:val="false"/>
        <w:spacing w:lineRule="atLeast" w:line="240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$24 million of the loss was due to a change in pricing methodology surrounding the way ancillary service charges were being calculated and incorporated into the retail power curves.  Other factors attributable to the loss are as follows:</w:t>
      </w:r>
    </w:p>
    <w:p>
      <w:pPr>
        <w:pStyle w:val="Normal"/>
        <w:autoSpaceDE w:val="false"/>
        <w:spacing w:lineRule="atLeast" w:line="240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1440" w:end="0"/>
        <w:rPr/>
      </w:pPr>
      <w:r>
        <w:rPr>
          <w:rFonts w:eastAsia="Symbol" w:cs="Symbol" w:ascii="Symbol" w:hAnsi="Symbol"/>
          <w:color w:val="000000"/>
          <w:sz w:val="20"/>
          <w:szCs w:val="20"/>
        </w:rPr>
        <w:sym w:font="Symbol" w:char="f0b7"/>
      </w:r>
      <w:r>
        <w:rPr>
          <w:color w:val="000000"/>
          <w:sz w:val="20"/>
          <w:szCs w:val="20"/>
        </w:rPr>
        <w:t>The Power-East loss was mainly a result of  NY East and Comed Peak curve changes</w:t>
      </w:r>
    </w:p>
    <w:p>
      <w:pPr>
        <w:pStyle w:val="Normal"/>
        <w:autoSpaceDE w:val="false"/>
        <w:spacing w:lineRule="atLeast" w:line="240"/>
        <w:rPr/>
      </w:pPr>
      <w:r>
        <w:rPr>
          <w:color w:val="000000"/>
          <w:sz w:val="20"/>
          <w:szCs w:val="20"/>
        </w:rPr>
        <w:tab/>
        <w:tab/>
      </w:r>
      <w:r>
        <w:rPr>
          <w:rFonts w:eastAsia="Symbol" w:cs="Symbol" w:ascii="Symbol" w:hAnsi="Symbol"/>
          <w:color w:val="000000"/>
          <w:sz w:val="20"/>
          <w:szCs w:val="20"/>
        </w:rPr>
        <w:sym w:font="Symbol" w:char="f0b7"/>
      </w:r>
      <w:r>
        <w:rPr>
          <w:color w:val="000000"/>
          <w:sz w:val="20"/>
          <w:szCs w:val="20"/>
        </w:rPr>
        <w:t>The Gas loss was due primarily to basis changes at So Cal and PG&amp;E</w:t>
      </w:r>
    </w:p>
    <w:p>
      <w:pPr>
        <w:pStyle w:val="Normal"/>
        <w:autoSpaceDE w:val="false"/>
        <w:spacing w:lineRule="atLeast" w:line="240"/>
        <w:rPr/>
      </w:pPr>
      <w:r>
        <w:rPr>
          <w:color w:val="000000"/>
          <w:sz w:val="20"/>
          <w:szCs w:val="20"/>
        </w:rPr>
        <w:tab/>
        <w:tab/>
      </w:r>
      <w:r>
        <w:rPr>
          <w:rFonts w:eastAsia="Symbol" w:cs="Symbol" w:ascii="Symbol" w:hAnsi="Symbol"/>
          <w:color w:val="000000"/>
          <w:sz w:val="20"/>
          <w:szCs w:val="20"/>
        </w:rPr>
        <w:sym w:font="Symbol" w:char="f0b7"/>
      </w:r>
      <w:r>
        <w:rPr>
          <w:color w:val="000000"/>
          <w:sz w:val="20"/>
          <w:szCs w:val="20"/>
        </w:rPr>
        <w:t>The California Tariff Insurance loss was due primarily to NP15 curve changes</w:t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p>
      <w:pPr>
        <w:pStyle w:val="Normal"/>
        <w:autoSpaceDE w:val="false"/>
        <w:spacing w:lineRule="atLeast" w:line="24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2001-04-10T19:37:00Z</dcterms:created>
  <dc:creator>kthibode</dc:creator>
  <dc:description/>
  <dc:language>en-CA</dc:language>
  <cp:lastModifiedBy>kthibode</cp:lastModifiedBy>
  <dcterms:modified xsi:type="dcterms:W3CDTF">2001-04-10T19:37:00Z</dcterms:modified>
  <cp:revision>2</cp:revision>
  <dc:subject/>
  <dc:title/>
</cp:coreProperties>
</file>