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1458"/>
        <w:gridCol w:w="4770"/>
        <w:gridCol w:w="720"/>
        <w:gridCol w:w="2617"/>
        <w:gridCol w:w="11"/>
      </w:tblGrid>
      <w:tr>
        <w:trPr>
          <w:trHeight w:val="1440" w:hRule="atLeast"/>
        </w:trPr>
        <w:tc>
          <w:tcPr>
            <w:tcW w:w="6948" w:type="dxa"/>
            <w:gridSpan w:val="3"/>
            <w:tcBorders/>
          </w:tcPr>
          <w:p>
            <w:pPr>
              <w:pStyle w:val="zzFormTitle"/>
              <w:rPr/>
            </w:pPr>
            <w:r>
              <w:rPr/>
              <w:t>MEMORANDUM</w:t>
            </w:r>
          </w:p>
        </w:tc>
        <w:tc>
          <w:tcPr>
            <w:tcW w:w="2628" w:type="dxa"/>
            <w:tcBorders/>
          </w:tcPr>
          <w:p>
            <w:pPr>
              <w:pStyle w:val="Normal"/>
              <w:rPr/>
            </w:pPr>
            <w:bookmarkStart w:id="0" w:name="bphLogo"/>
            <w:r>
              <w:rPr/>
              <w:drawing>
                <wp:inline distT="0" distB="0" distL="0" distR="0">
                  <wp:extent cx="1463040" cy="594360"/>
                  <wp:effectExtent l="0" t="0" r="0" b="0"/>
                  <wp:docPr id="1" name="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escr="" title=""/>
                          <pic:cNvPicPr>
                            <a:picLocks noChangeAspect="1" noChangeArrowheads="1"/>
                          </pic:cNvPicPr>
                        </pic:nvPicPr>
                        <pic:blipFill>
                          <a:blip r:embed="rId2"/>
                          <a:srcRect l="-25" t="-61" r="-25" b="-61"/>
                          <a:stretch>
                            <a:fillRect/>
                          </a:stretch>
                        </pic:blipFill>
                        <pic:spPr bwMode="auto">
                          <a:xfrm>
                            <a:off x="0" y="0"/>
                            <a:ext cx="1463040" cy="594360"/>
                          </a:xfrm>
                          <a:prstGeom prst="rect">
                            <a:avLst/>
                          </a:prstGeom>
                          <a:noFill/>
                        </pic:spPr>
                      </pic:pic>
                    </a:graphicData>
                  </a:graphic>
                </wp:inline>
              </w:drawing>
            </w:r>
            <w:bookmarkEnd w:id="0"/>
          </w:p>
        </w:tc>
      </w:tr>
      <w:tr>
        <w:trPr/>
        <w:tc>
          <w:tcPr>
            <w:tcW w:w="1458" w:type="dxa"/>
            <w:tcBorders/>
          </w:tcPr>
          <w:p>
            <w:pPr>
              <w:pStyle w:val="zzAddressTag"/>
              <w:spacing w:before="0" w:after="240"/>
              <w:rPr>
                <w:b/>
              </w:rPr>
            </w:pPr>
            <w:r>
              <w:rPr>
                <w:b/>
              </w:rPr>
              <w:t>TO:</w:t>
            </w:r>
          </w:p>
        </w:tc>
        <w:tc>
          <w:tcPr>
            <w:tcW w:w="4770" w:type="dxa"/>
            <w:tcBorders/>
          </w:tcPr>
          <w:p>
            <w:pPr>
              <w:pStyle w:val="zzResponseText"/>
              <w:spacing w:before="0" w:after="240"/>
              <w:rPr>
                <w:b/>
              </w:rPr>
            </w:pPr>
            <w:bookmarkStart w:id="1" w:name="Recipients"/>
            <w:r>
              <w:rPr>
                <w:b/>
              </w:rPr>
              <w:t>Anne Koehler</w:t>
            </w:r>
            <w:bookmarkEnd w:id="1"/>
          </w:p>
        </w:tc>
        <w:tc>
          <w:tcPr>
            <w:tcW w:w="3348" w:type="dxa"/>
            <w:gridSpan w:val="2"/>
            <w:tcBorders/>
            <w:tcMar>
              <w:start w:w="0" w:type="dxa"/>
              <w:end w:w="0" w:type="dxa"/>
            </w:tcMar>
          </w:tcPr>
          <w:p>
            <w:pPr>
              <w:pStyle w:val="Normal"/>
              <w:snapToGrid w:val="false"/>
              <w:rPr>
                <w:b/>
              </w:rPr>
            </w:pPr>
            <w:r>
              <w:rPr>
                <w:b/>
              </w:rPr>
            </w:r>
          </w:p>
        </w:tc>
      </w:tr>
      <w:tr>
        <w:trPr/>
        <w:tc>
          <w:tcPr>
            <w:tcW w:w="1458" w:type="dxa"/>
            <w:tcBorders/>
          </w:tcPr>
          <w:p>
            <w:pPr>
              <w:pStyle w:val="zzAddressTag"/>
              <w:spacing w:before="0" w:after="240"/>
              <w:rPr>
                <w:b/>
              </w:rPr>
            </w:pPr>
            <w:r>
              <w:rPr>
                <w:b/>
              </w:rPr>
              <w:t>FROM:</w:t>
            </w:r>
          </w:p>
        </w:tc>
        <w:tc>
          <w:tcPr>
            <w:tcW w:w="4770" w:type="dxa"/>
            <w:tcBorders/>
          </w:tcPr>
          <w:p>
            <w:pPr>
              <w:pStyle w:val="zzResponseText"/>
              <w:spacing w:before="0" w:after="240"/>
              <w:rPr>
                <w:b/>
              </w:rPr>
            </w:pPr>
            <w:bookmarkStart w:id="2" w:name="Senders"/>
            <w:r>
              <w:rPr>
                <w:b/>
              </w:rPr>
              <w:t>David Hudanish</w:t>
              <w:br/>
              <w:t>Ken Johnson</w:t>
              <w:br/>
              <w:t>Jeff Andrews</w:t>
            </w:r>
            <w:bookmarkEnd w:id="2"/>
          </w:p>
        </w:tc>
        <w:tc>
          <w:tcPr>
            <w:tcW w:w="3348" w:type="dxa"/>
            <w:gridSpan w:val="2"/>
            <w:tcBorders/>
            <w:tcMar>
              <w:start w:w="0" w:type="dxa"/>
              <w:end w:w="0" w:type="dxa"/>
            </w:tcMar>
          </w:tcPr>
          <w:p>
            <w:pPr>
              <w:pStyle w:val="Normal"/>
              <w:snapToGrid w:val="false"/>
              <w:rPr>
                <w:b/>
              </w:rPr>
            </w:pPr>
            <w:r>
              <w:rPr>
                <w:b/>
              </w:rPr>
            </w:r>
          </w:p>
        </w:tc>
      </w:tr>
      <w:tr>
        <w:trPr/>
        <w:tc>
          <w:tcPr>
            <w:tcW w:w="1458" w:type="dxa"/>
            <w:tcBorders/>
          </w:tcPr>
          <w:p>
            <w:pPr>
              <w:pStyle w:val="zzAddressTag"/>
              <w:spacing w:before="0" w:after="240"/>
              <w:rPr>
                <w:b/>
              </w:rPr>
            </w:pPr>
            <w:r>
              <w:rPr>
                <w:b/>
              </w:rPr>
              <w:t>SUBJECT:</w:t>
            </w:r>
          </w:p>
        </w:tc>
        <w:tc>
          <w:tcPr>
            <w:tcW w:w="8107" w:type="dxa"/>
            <w:gridSpan w:val="3"/>
            <w:tcBorders/>
          </w:tcPr>
          <w:p>
            <w:pPr>
              <w:pStyle w:val="zzResponseText"/>
              <w:spacing w:before="0" w:after="240"/>
              <w:rPr>
                <w:b/>
              </w:rPr>
            </w:pPr>
            <w:bookmarkStart w:id="3" w:name="Subject"/>
            <w:r>
              <w:rPr>
                <w:b/>
              </w:rPr>
              <w:t>Business and Legal Issues in Licensing Transactions</w:t>
            </w:r>
            <w:bookmarkEnd w:id="3"/>
          </w:p>
        </w:tc>
      </w:tr>
      <w:tr>
        <w:trPr/>
        <w:tc>
          <w:tcPr>
            <w:tcW w:w="1458" w:type="dxa"/>
            <w:tcBorders>
              <w:bottom w:val="double" w:sz="4" w:space="0" w:color="000000"/>
            </w:tcBorders>
          </w:tcPr>
          <w:p>
            <w:pPr>
              <w:pStyle w:val="zzAddressTag"/>
              <w:spacing w:before="0" w:after="240"/>
              <w:rPr>
                <w:b/>
              </w:rPr>
            </w:pPr>
            <w:r>
              <w:rPr>
                <w:b/>
              </w:rPr>
              <w:t>DATE:</w:t>
            </w:r>
          </w:p>
        </w:tc>
        <w:tc>
          <w:tcPr>
            <w:tcW w:w="8107" w:type="dxa"/>
            <w:gridSpan w:val="3"/>
            <w:tcBorders>
              <w:bottom w:val="double" w:sz="4" w:space="0" w:color="000000"/>
            </w:tcBorders>
          </w:tcPr>
          <w:p>
            <w:pPr>
              <w:pStyle w:val="zzResponseText"/>
              <w:spacing w:before="0" w:after="240"/>
              <w:rPr>
                <w:b/>
              </w:rPr>
            </w:pPr>
            <w:bookmarkStart w:id="4" w:name="Date"/>
            <w:r>
              <w:rPr>
                <w:b/>
              </w:rPr>
              <w:t>September 13, 2001</w:t>
            </w:r>
            <w:bookmarkEnd w:id="4"/>
          </w:p>
        </w:tc>
      </w:tr>
    </w:tbl>
    <w:p>
      <w:pPr>
        <w:pStyle w:val="BodyText"/>
        <w:rPr/>
      </w:pPr>
      <w:r>
        <w:rPr/>
      </w:r>
    </w:p>
    <w:p>
      <w:pPr>
        <w:pStyle w:val="BodyText"/>
        <w:jc w:val="both"/>
        <w:rPr/>
      </w:pPr>
      <w:bookmarkStart w:id="5" w:name="BodyStart"/>
      <w:bookmarkEnd w:id="5"/>
      <w:r>
        <w:rPr/>
        <w:t>As requested, this memorandum outlines business and legal issues that Enron should consider in advance of preparing and negotiating an agreement to license the EnronOnline Software (the “Software Product”) to third parties.  Our primary focus in this memorandum is on licensing the Software Product to a third party for hosting on its own equipment.  In Section 12, we highlight some special considerations relating to Enron hosting the Software Product on behalf of a third party.  The information in this memorandum is not intended to be exhaustive.  Rather, it is intended to address those issues that in our experience are most likely arise in this type of transaction.  When appropriate, we have included our recommendations.  Please feel free to contact us at your convenience if you have any questions or if there is any additional information we can provide.</w:t>
      </w:r>
    </w:p>
    <w:p>
      <w:pPr>
        <w:pStyle w:val="Normal"/>
        <w:spacing w:before="0" w:after="240"/>
        <w:jc w:val="both"/>
        <w:rPr/>
      </w:pPr>
      <w:r>
        <w:rPr/>
        <w:t>1.</w:t>
        <w:tab/>
        <w:t>PRODUCTS TO BE LICENSED</w:t>
      </w:r>
    </w:p>
    <w:p>
      <w:pPr>
        <w:pStyle w:val="Normal"/>
        <w:spacing w:before="0" w:after="240"/>
        <w:ind w:hanging="720" w:start="1440" w:end="0"/>
        <w:jc w:val="both"/>
        <w:rPr/>
      </w:pPr>
      <w:r>
        <w:rPr/>
        <w:t>a.</w:t>
        <w:tab/>
      </w:r>
      <w:r>
        <w:rPr>
          <w:u w:val="single"/>
        </w:rPr>
        <w:t>Software Product</w:t>
      </w:r>
      <w:r>
        <w:rPr/>
        <w:t>.  What specific Software Product will be licensed to the customer?  We will need a detailed description of the Software Product including, version/release designations and other relevant details (e.g., module/component names, functionality).</w:t>
      </w:r>
    </w:p>
    <w:p>
      <w:pPr>
        <w:pStyle w:val="Normal"/>
        <w:numPr>
          <w:ilvl w:val="0"/>
          <w:numId w:val="11"/>
        </w:numPr>
        <w:spacing w:before="0" w:after="240"/>
        <w:jc w:val="both"/>
        <w:rPr/>
      </w:pPr>
      <w:r>
        <w:rPr>
          <w:u w:val="single"/>
        </w:rPr>
        <w:t>Documentation</w:t>
      </w:r>
      <w:r>
        <w:rPr/>
        <w:t>.  What technical and user documentation will be provided to the customer for the Software Product?  We will need a detailed description of the technical and user documentation that will be provided to the customer.  Is the technical documentation sufficiently accurate and complete to enable “install customers” (i.e., customers who will install product on their own servers) to install, operate and/or maintain the delivered Software Product?  Is the user documentation accurate and up to date?</w:t>
      </w:r>
    </w:p>
    <w:p>
      <w:pPr>
        <w:pStyle w:val="Normal"/>
        <w:numPr>
          <w:ilvl w:val="0"/>
          <w:numId w:val="11"/>
        </w:numPr>
        <w:spacing w:before="0" w:after="240"/>
        <w:jc w:val="both"/>
        <w:rPr/>
      </w:pPr>
      <w:r>
        <w:rPr>
          <w:u w:val="single"/>
        </w:rPr>
        <w:t>Hardware/Software</w:t>
      </w:r>
      <w:r>
        <w:rPr/>
        <w:t>.  Is there any specific hardware or software that will be required to operate the Software Product?  If so:</w:t>
      </w:r>
    </w:p>
    <w:p>
      <w:pPr>
        <w:pStyle w:val="Normal"/>
        <w:ind w:hanging="720" w:start="2160" w:end="0"/>
        <w:jc w:val="both"/>
        <w:rPr/>
      </w:pPr>
      <w:r>
        <w:rPr/>
        <w:t>i.</w:t>
        <w:tab/>
        <w:t>Will customer be responsible for obtaining hardware/software?  Will Enron assist customer in obtaining hardware/software?</w:t>
      </w:r>
    </w:p>
    <w:p>
      <w:pPr>
        <w:pStyle w:val="Normal"/>
        <w:spacing w:before="0" w:after="240"/>
        <w:ind w:hanging="720" w:start="2160" w:end="0"/>
        <w:jc w:val="both"/>
        <w:rPr/>
      </w:pPr>
      <w:r>
        <w:rPr/>
        <w:t>ii.</w:t>
        <w:tab/>
        <w:t>Will Enron obtain hardware/software on customer’s behalf and lease to customer?</w:t>
      </w:r>
    </w:p>
    <w:p>
      <w:pPr>
        <w:pStyle w:val="Normal"/>
        <w:spacing w:before="0" w:after="240"/>
        <w:ind w:hanging="720" w:start="1440" w:end="0"/>
        <w:jc w:val="both"/>
        <w:rPr/>
      </w:pPr>
      <w:r>
        <w:rPr/>
        <w:t>d.</w:t>
        <w:tab/>
      </w:r>
      <w:r>
        <w:rPr>
          <w:u w:val="single"/>
        </w:rPr>
        <w:t>Updates/Revisions</w:t>
      </w:r>
      <w:r>
        <w:rPr/>
        <w:t>.  What updates/revisions to the Software Product will be provided to customers and under what conditions?</w:t>
      </w:r>
    </w:p>
    <w:p>
      <w:pPr>
        <w:pStyle w:val="Normal"/>
        <w:ind w:hanging="720" w:start="2160" w:end="0"/>
        <w:jc w:val="both"/>
        <w:rPr/>
      </w:pPr>
      <w:r>
        <w:rPr/>
        <w:t>i.</w:t>
        <w:tab/>
        <w:t>Is there “core” functionality of the Software Product for which Enron is willing to provide updates/revisions?</w:t>
      </w:r>
    </w:p>
    <w:p>
      <w:pPr>
        <w:pStyle w:val="Normal"/>
        <w:ind w:hanging="720" w:start="2160" w:end="0"/>
        <w:jc w:val="both"/>
        <w:rPr/>
      </w:pPr>
      <w:r>
        <w:rPr/>
        <w:t>ii.</w:t>
        <w:tab/>
        <w:t>Will Enron require that a support and maintenance agreement be in place before providing updates to the “core”?</w:t>
      </w:r>
    </w:p>
    <w:p>
      <w:pPr>
        <w:pStyle w:val="Normal"/>
        <w:spacing w:before="0" w:after="240"/>
        <w:ind w:hanging="720" w:start="2160" w:end="0"/>
        <w:jc w:val="both"/>
        <w:rPr/>
      </w:pPr>
      <w:r>
        <w:rPr/>
        <w:t>iii.</w:t>
        <w:tab/>
        <w:t>Will Enron only provide updates to the core that it makes in the normal course of business, or will it make periodic updates to the core upon request?</w:t>
      </w:r>
    </w:p>
    <w:p>
      <w:pPr>
        <w:pStyle w:val="Normal"/>
        <w:spacing w:before="0" w:after="240"/>
        <w:ind w:hanging="720" w:start="720" w:end="0"/>
        <w:jc w:val="both"/>
        <w:rPr/>
      </w:pPr>
      <w:r>
        <w:rPr/>
        <w:t>2.</w:t>
        <w:tab/>
        <w:t>DEFINITION OF CUSTOMER</w:t>
      </w:r>
    </w:p>
    <w:p>
      <w:pPr>
        <w:pStyle w:val="Normal"/>
        <w:spacing w:before="0" w:after="240"/>
        <w:ind w:hanging="720" w:start="1440" w:end="0"/>
        <w:jc w:val="both"/>
        <w:rPr/>
      </w:pPr>
      <w:r>
        <w:rPr/>
        <w:t>a.</w:t>
        <w:tab/>
      </w:r>
      <w:r>
        <w:rPr>
          <w:u w:val="single"/>
        </w:rPr>
        <w:t>Customer</w:t>
      </w:r>
      <w:r>
        <w:rPr/>
        <w:t>.  Who is the customer that will be entitled to use the Software Product and to receive other services provided by Enron?</w:t>
      </w:r>
    </w:p>
    <w:p>
      <w:pPr>
        <w:pStyle w:val="Normal"/>
        <w:ind w:hanging="720" w:start="2160" w:end="0"/>
        <w:jc w:val="both"/>
        <w:rPr/>
      </w:pPr>
      <w:r>
        <w:rPr/>
        <w:t>i.</w:t>
        <w:tab/>
        <w:t>The specific legal entity that executes the license and its employees?</w:t>
      </w:r>
    </w:p>
    <w:p>
      <w:pPr>
        <w:pStyle w:val="Normal"/>
        <w:ind w:hanging="720" w:start="2160" w:end="0"/>
        <w:jc w:val="both"/>
        <w:rPr/>
      </w:pPr>
      <w:r>
        <w:rPr/>
        <w:t>ii.</w:t>
        <w:tab/>
        <w:t>Affiliates and/or subsidiaries of that legal entity?  If so, how are “affiliates” to be defined? Wholly-owned, controlled, specified percentage of ownership?</w:t>
      </w:r>
    </w:p>
    <w:p>
      <w:pPr>
        <w:pStyle w:val="Normal"/>
        <w:ind w:hanging="720" w:start="2160" w:end="0"/>
        <w:jc w:val="both"/>
        <w:rPr/>
      </w:pPr>
      <w:r>
        <w:rPr/>
        <w:t>iii.</w:t>
        <w:tab/>
        <w:t>Later-acquired entities and later-divested entities?  What is implication on fees and/or obligation to meet service levels?</w:t>
      </w:r>
    </w:p>
    <w:p>
      <w:pPr>
        <w:pStyle w:val="Normal"/>
        <w:spacing w:before="0" w:after="240"/>
        <w:ind w:hanging="720" w:start="2160" w:end="0"/>
        <w:jc w:val="both"/>
        <w:rPr/>
      </w:pPr>
      <w:r>
        <w:rPr/>
        <w:t>iii.</w:t>
        <w:tab/>
        <w:t>Are there legal entities that are competitors or that Enron would otherwise want to exclude?</w:t>
      </w:r>
    </w:p>
    <w:p>
      <w:pPr>
        <w:pStyle w:val="Normal"/>
        <w:spacing w:before="0" w:after="240"/>
        <w:jc w:val="both"/>
        <w:rPr/>
      </w:pPr>
      <w:r>
        <w:rPr/>
        <w:t>3.</w:t>
        <w:tab/>
        <w:t>SCOPE OF CUSTOMER AUTHORITY</w:t>
      </w:r>
    </w:p>
    <w:p>
      <w:pPr>
        <w:pStyle w:val="Normal"/>
        <w:spacing w:before="0" w:after="240"/>
        <w:ind w:hanging="720" w:start="1440" w:end="0"/>
        <w:jc w:val="both"/>
        <w:rPr/>
      </w:pPr>
      <w:r>
        <w:rPr/>
        <w:t>a.</w:t>
        <w:tab/>
      </w:r>
      <w:r>
        <w:rPr>
          <w:u w:val="single"/>
        </w:rPr>
        <w:t>Scope of Rights</w:t>
      </w:r>
      <w:r>
        <w:rPr/>
        <w:t>.</w:t>
      </w:r>
    </w:p>
    <w:p>
      <w:pPr>
        <w:pStyle w:val="Normal"/>
        <w:ind w:hanging="720" w:start="2160" w:end="0"/>
        <w:jc w:val="both"/>
        <w:rPr/>
      </w:pPr>
      <w:r>
        <w:rPr/>
        <w:t>i.</w:t>
        <w:tab/>
        <w:t>Right to use.  Will there be limits on the number of simultaneous end users?</w:t>
      </w:r>
    </w:p>
    <w:p>
      <w:pPr>
        <w:pStyle w:val="Normal"/>
        <w:ind w:hanging="720" w:start="2160" w:end="0"/>
        <w:jc w:val="both"/>
        <w:rPr/>
      </w:pPr>
      <w:r>
        <w:rPr/>
        <w:t>ii.</w:t>
        <w:tab/>
        <w:t>Right to make copies.  Will there be limits on (a) number of copies that can be made; or (b) number of “instances” of the Software Product that can be running simultaneously.  Copies should be for internal purposes only (backups; as needed to implement trading services).</w:t>
      </w:r>
    </w:p>
    <w:p>
      <w:pPr>
        <w:pStyle w:val="Normal"/>
        <w:ind w:hanging="720" w:start="2160" w:end="0"/>
        <w:jc w:val="both"/>
        <w:rPr/>
      </w:pPr>
      <w:r>
        <w:rPr/>
        <w:t>iii.</w:t>
        <w:tab/>
        <w:t>Right to modify.  Will customers need the right to modify the Software Product?  If so, will they need source code for this purpose, or will they be provided with something akin to a software development kit?</w:t>
      </w:r>
    </w:p>
    <w:p>
      <w:pPr>
        <w:pStyle w:val="Normal"/>
        <w:spacing w:before="0" w:after="240"/>
        <w:ind w:hanging="720" w:start="2160" w:end="0"/>
        <w:jc w:val="both"/>
        <w:rPr/>
      </w:pPr>
      <w:r>
        <w:rPr/>
        <w:t>iv.</w:t>
        <w:tab/>
        <w:t>Is there a client-software component to the Software Product?  If so, will customers need the right to distribute the client-software component to end users?</w:t>
      </w:r>
    </w:p>
    <w:p>
      <w:pPr>
        <w:pStyle w:val="Normal"/>
        <w:spacing w:before="0" w:after="240"/>
        <w:ind w:hanging="720" w:start="1440" w:end="0"/>
        <w:jc w:val="both"/>
        <w:rPr/>
      </w:pPr>
      <w:r>
        <w:rPr/>
        <w:t>b.</w:t>
        <w:tab/>
      </w:r>
      <w:r>
        <w:rPr>
          <w:u w:val="single"/>
        </w:rPr>
        <w:t>Exclusivity vs. Non-exclusivity</w:t>
      </w:r>
      <w:r>
        <w:rPr/>
        <w:t>.  Is Enron willing to provide any form of exclusivity?  If so, under what terms?</w:t>
      </w:r>
    </w:p>
    <w:p>
      <w:pPr>
        <w:pStyle w:val="Normal"/>
        <w:ind w:hanging="720" w:start="2160" w:end="0"/>
        <w:jc w:val="both"/>
        <w:rPr/>
      </w:pPr>
      <w:r>
        <w:rPr/>
        <w:t>i.</w:t>
        <w:tab/>
        <w:t>Upon payment of exclusive license fee?</w:t>
      </w:r>
    </w:p>
    <w:p>
      <w:pPr>
        <w:pStyle w:val="Normal"/>
        <w:ind w:hanging="720" w:start="2160" w:end="0"/>
        <w:jc w:val="both"/>
        <w:rPr/>
      </w:pPr>
      <w:r>
        <w:rPr/>
        <w:t>ii.</w:t>
        <w:tab/>
        <w:t>Only for a limited duration?  Then it converts to a non-exclusive arrangement?</w:t>
      </w:r>
    </w:p>
    <w:p>
      <w:pPr>
        <w:pStyle w:val="Normal"/>
        <w:spacing w:before="0" w:after="240"/>
        <w:ind w:hanging="720" w:start="2160" w:end="0"/>
        <w:jc w:val="both"/>
        <w:rPr/>
      </w:pPr>
      <w:r>
        <w:rPr/>
        <w:t>iii.</w:t>
        <w:tab/>
        <w:t>Only for so long as the customer meets specified fee targets?</w:t>
      </w:r>
    </w:p>
    <w:p>
      <w:pPr>
        <w:pStyle w:val="Normal"/>
        <w:spacing w:before="0" w:after="240"/>
        <w:ind w:start="720" w:end="0"/>
        <w:jc w:val="both"/>
        <w:rPr/>
      </w:pPr>
      <w:r>
        <w:rPr/>
        <w:t>c.</w:t>
        <w:tab/>
      </w:r>
      <w:r>
        <w:rPr>
          <w:u w:val="single"/>
        </w:rPr>
        <w:t>Restrictions</w:t>
      </w:r>
      <w:r>
        <w:rPr/>
        <w:t>.  Will Enron impose any limits on customer rights?</w:t>
      </w:r>
    </w:p>
    <w:p>
      <w:pPr>
        <w:pStyle w:val="Normal"/>
        <w:ind w:hanging="720" w:start="2160" w:end="0"/>
        <w:jc w:val="both"/>
        <w:rPr/>
      </w:pPr>
      <w:r>
        <w:rPr/>
        <w:t>i.</w:t>
        <w:tab/>
        <w:t>Use limited to end users in specific geographic region (e.g., U.S., Asia, Europe).</w:t>
      </w:r>
    </w:p>
    <w:p>
      <w:pPr>
        <w:pStyle w:val="Normal"/>
        <w:ind w:hanging="720" w:start="2160" w:end="0"/>
        <w:jc w:val="both"/>
        <w:rPr/>
      </w:pPr>
      <w:r>
        <w:rPr/>
        <w:t>ii.</w:t>
        <w:tab/>
        <w:t>Use limited to customers or end users in a specific industry or field of use (e.g., medical supplies, soft drinks).</w:t>
      </w:r>
    </w:p>
    <w:p>
      <w:pPr>
        <w:pStyle w:val="Normal"/>
        <w:spacing w:before="0" w:after="240"/>
        <w:ind w:start="1440" w:end="0"/>
        <w:jc w:val="both"/>
        <w:rPr/>
      </w:pPr>
      <w:r>
        <w:rPr/>
        <w:t>iii.</w:t>
        <w:tab/>
        <w:t>Use limited to marketing and offering for sale certain specific products.</w:t>
      </w:r>
    </w:p>
    <w:p>
      <w:pPr>
        <w:pStyle w:val="Normal"/>
        <w:spacing w:before="0" w:after="240"/>
        <w:ind w:hanging="720" w:start="1440" w:end="0"/>
        <w:jc w:val="both"/>
        <w:rPr/>
      </w:pPr>
      <w:r>
        <w:rPr/>
        <w:t>d.</w:t>
        <w:tab/>
      </w:r>
      <w:r>
        <w:rPr>
          <w:u w:val="single"/>
        </w:rPr>
        <w:t>Right to Assign or Sublicense</w:t>
      </w:r>
      <w:r>
        <w:rPr/>
        <w:t>.  Will Enron permit customers to assign or sublicense their rights to third parties?  If so, under what terms?</w:t>
      </w:r>
    </w:p>
    <w:p>
      <w:pPr>
        <w:pStyle w:val="Normal"/>
        <w:ind w:start="1440" w:end="0"/>
        <w:jc w:val="both"/>
        <w:rPr/>
      </w:pPr>
      <w:r>
        <w:rPr/>
        <w:t>i.</w:t>
        <w:tab/>
        <w:t>To affiliates and subsidiaries only?</w:t>
      </w:r>
    </w:p>
    <w:p>
      <w:pPr>
        <w:pStyle w:val="Normal"/>
        <w:ind w:start="1440" w:end="0"/>
        <w:jc w:val="both"/>
        <w:rPr/>
      </w:pPr>
      <w:r>
        <w:rPr/>
        <w:t>ii.</w:t>
        <w:tab/>
        <w:t>Only with Enron’s express prior consent?</w:t>
      </w:r>
    </w:p>
    <w:p>
      <w:pPr>
        <w:pStyle w:val="Normal"/>
        <w:spacing w:before="0" w:after="240"/>
        <w:ind w:start="1440" w:end="0"/>
        <w:jc w:val="both"/>
        <w:rPr/>
      </w:pPr>
      <w:r>
        <w:rPr/>
        <w:t>iii.</w:t>
        <w:tab/>
        <w:t>Will there be exclusions for certain competitive entities?</w:t>
      </w:r>
    </w:p>
    <w:p>
      <w:pPr>
        <w:pStyle w:val="Normal"/>
        <w:spacing w:before="0" w:after="240"/>
        <w:ind w:hanging="720" w:start="1440" w:end="0"/>
        <w:jc w:val="both"/>
        <w:rPr/>
      </w:pPr>
      <w:r>
        <w:rPr/>
        <w:t>e.</w:t>
        <w:tab/>
      </w:r>
      <w:r>
        <w:rPr>
          <w:u w:val="single"/>
        </w:rPr>
        <w:t>Outsourced operation</w:t>
      </w:r>
      <w:r>
        <w:rPr/>
        <w:t>.  Will customers be allowed to operate the Software Product only on their own equipment , or can customers outsource operation of the Software Product to a third party to run on their equipment?</w:t>
      </w:r>
    </w:p>
    <w:p>
      <w:pPr>
        <w:pStyle w:val="Normal"/>
        <w:spacing w:before="0" w:after="240"/>
        <w:jc w:val="both"/>
        <w:rPr/>
      </w:pPr>
      <w:r>
        <w:rPr/>
        <w:t>4.</w:t>
        <w:tab/>
        <w:t>END-USER ISSUES</w:t>
      </w:r>
    </w:p>
    <w:p>
      <w:pPr>
        <w:pStyle w:val="Normal"/>
        <w:spacing w:before="0" w:after="240"/>
        <w:ind w:start="720" w:end="0"/>
        <w:jc w:val="both"/>
        <w:rPr/>
      </w:pPr>
      <w:r>
        <w:rPr/>
        <w:t>a.</w:t>
        <w:tab/>
      </w:r>
      <w:r>
        <w:rPr>
          <w:u w:val="single"/>
        </w:rPr>
        <w:t>Contract</w:t>
      </w:r>
      <w:r>
        <w:rPr/>
        <w:t>.  Who will contract with end-users?</w:t>
      </w:r>
    </w:p>
    <w:p>
      <w:pPr>
        <w:pStyle w:val="Normal"/>
        <w:ind w:start="1440" w:end="0"/>
        <w:jc w:val="both"/>
        <w:rPr/>
      </w:pPr>
      <w:r>
        <w:rPr/>
        <w:t>i.</w:t>
        <w:tab/>
        <w:t>Enron (probably not favorable to Enron because of additional obligations)</w:t>
      </w:r>
    </w:p>
    <w:p>
      <w:pPr>
        <w:pStyle w:val="Normal"/>
        <w:spacing w:before="0" w:after="240"/>
        <w:ind w:start="1440" w:end="0"/>
        <w:jc w:val="both"/>
        <w:rPr/>
      </w:pPr>
      <w:r>
        <w:rPr/>
        <w:t>ii.</w:t>
        <w:tab/>
        <w:t>Customer.</w:t>
      </w:r>
    </w:p>
    <w:p>
      <w:pPr>
        <w:pStyle w:val="Normal"/>
        <w:spacing w:before="0" w:after="240"/>
        <w:ind w:start="720" w:end="0"/>
        <w:jc w:val="both"/>
        <w:rPr/>
      </w:pPr>
      <w:r>
        <w:rPr/>
        <w:t>b.</w:t>
        <w:tab/>
      </w:r>
      <w:r>
        <w:rPr>
          <w:u w:val="single"/>
        </w:rPr>
        <w:t>End User Restrictions</w:t>
      </w:r>
      <w:r>
        <w:rPr/>
        <w:t>.  What end-user restrictions are required to protect Enron?</w:t>
      </w:r>
    </w:p>
    <w:p>
      <w:pPr>
        <w:pStyle w:val="Normal"/>
        <w:ind w:hanging="720" w:start="2160" w:end="0"/>
        <w:jc w:val="both"/>
        <w:rPr/>
      </w:pPr>
      <w:r>
        <w:rPr/>
        <w:t>i.</w:t>
        <w:tab/>
        <w:t>Will Enron need to limit the number of simultaneous end users?</w:t>
      </w:r>
    </w:p>
    <w:p>
      <w:pPr>
        <w:pStyle w:val="Normal"/>
        <w:spacing w:before="0" w:after="240"/>
        <w:ind w:hanging="720" w:start="2160" w:end="0"/>
        <w:jc w:val="both"/>
        <w:rPr/>
      </w:pPr>
      <w:r>
        <w:rPr/>
        <w:t>ii.</w:t>
        <w:tab/>
        <w:t>Will Enron need to specify certain end-user restrictions that a customer must include in its end-user contracts?</w:t>
      </w:r>
    </w:p>
    <w:p>
      <w:pPr>
        <w:pStyle w:val="Normal"/>
        <w:spacing w:before="0" w:after="240"/>
        <w:jc w:val="both"/>
        <w:rPr/>
      </w:pPr>
      <w:r>
        <w:rPr/>
        <w:t>5.</w:t>
        <w:tab/>
        <w:t>TERM OF LICENSE; TERMINATION</w:t>
      </w:r>
    </w:p>
    <w:p>
      <w:pPr>
        <w:pStyle w:val="Normal"/>
        <w:spacing w:before="0" w:after="240"/>
        <w:ind w:start="720" w:end="0"/>
        <w:jc w:val="both"/>
        <w:rPr/>
      </w:pPr>
      <w:r>
        <w:rPr/>
        <w:t>a.</w:t>
        <w:tab/>
      </w:r>
      <w:r>
        <w:rPr>
          <w:u w:val="single"/>
        </w:rPr>
        <w:t>Duration of License</w:t>
      </w:r>
      <w:r>
        <w:rPr/>
        <w:t>.  What is initial term of license?</w:t>
      </w:r>
    </w:p>
    <w:p>
      <w:pPr>
        <w:pStyle w:val="Normal"/>
        <w:ind w:hanging="720" w:start="2160" w:end="0"/>
        <w:jc w:val="both"/>
        <w:rPr/>
      </w:pPr>
      <w:r>
        <w:rPr/>
        <w:t>i.</w:t>
        <w:tab/>
        <w:t>Perpetual?</w:t>
      </w:r>
    </w:p>
    <w:p>
      <w:pPr>
        <w:pStyle w:val="Normal"/>
        <w:ind w:hanging="720" w:start="2160" w:end="0"/>
        <w:jc w:val="both"/>
        <w:rPr/>
      </w:pPr>
      <w:r>
        <w:rPr/>
        <w:t>ii.</w:t>
        <w:tab/>
        <w:t>Specific period of time? (e.g., three years)</w:t>
      </w:r>
    </w:p>
    <w:p>
      <w:pPr>
        <w:pStyle w:val="Normal"/>
        <w:spacing w:before="0" w:after="240"/>
        <w:ind w:hanging="720" w:start="2160" w:end="0"/>
        <w:jc w:val="both"/>
        <w:rPr/>
      </w:pPr>
      <w:r>
        <w:rPr/>
        <w:t>iii.</w:t>
        <w:tab/>
        <w:t>If for a specific period, is it renewable?  For how long and under what terms (e.g., for successive one year periods)?  At whose discretion: Enron’s, the customer’s or both?</w:t>
      </w:r>
    </w:p>
    <w:p>
      <w:pPr>
        <w:pStyle w:val="Normal"/>
        <w:spacing w:before="0" w:after="240"/>
        <w:ind w:start="720" w:end="0"/>
        <w:jc w:val="both"/>
        <w:rPr/>
      </w:pPr>
      <w:r>
        <w:rPr/>
        <w:t>b.</w:t>
        <w:tab/>
      </w:r>
      <w:r>
        <w:rPr>
          <w:u w:val="single"/>
        </w:rPr>
        <w:t>Termination by Enron</w:t>
      </w:r>
      <w:r>
        <w:rPr/>
        <w:t>.  When can Enron terminate?</w:t>
      </w:r>
    </w:p>
    <w:p>
      <w:pPr>
        <w:pStyle w:val="Normal"/>
        <w:ind w:hanging="720" w:start="2160" w:end="0"/>
        <w:jc w:val="both"/>
        <w:rPr/>
      </w:pPr>
      <w:r>
        <w:rPr/>
        <w:t>i.</w:t>
        <w:tab/>
        <w:t>For a customer’s breach of a material provision of the agreement (e.g., non-payment, breach of confidentiality, violation of restrictions in license)?</w:t>
      </w:r>
    </w:p>
    <w:p>
      <w:pPr>
        <w:pStyle w:val="Normal"/>
        <w:ind w:hanging="720" w:start="2160" w:end="0"/>
        <w:jc w:val="both"/>
        <w:rPr/>
      </w:pPr>
      <w:r>
        <w:rPr/>
        <w:t>ii.</w:t>
        <w:tab/>
        <w:t>For customer’s insolvency or bankruptcy?</w:t>
      </w:r>
    </w:p>
    <w:p>
      <w:pPr>
        <w:pStyle w:val="Normal"/>
        <w:ind w:hanging="720" w:start="2160" w:end="0"/>
        <w:jc w:val="both"/>
        <w:rPr/>
      </w:pPr>
      <w:r>
        <w:rPr/>
        <w:t>iii.</w:t>
        <w:tab/>
        <w:t>For a “change of control” of customer?  Only if to undesirable successor (who are specifically identified in advance)?</w:t>
      </w:r>
    </w:p>
    <w:p>
      <w:pPr>
        <w:pStyle w:val="Normal"/>
        <w:spacing w:before="0" w:after="240"/>
        <w:ind w:hanging="720" w:start="2160" w:end="0"/>
        <w:jc w:val="both"/>
        <w:rPr/>
      </w:pPr>
      <w:r>
        <w:rPr/>
        <w:t>iv.</w:t>
        <w:tab/>
        <w:t>Without cause, i.e., for any reason or no reason, upon significant advance notice (e.g., 90 days) (protects Enron if it decides to get out the business of software licensing)?</w:t>
      </w:r>
    </w:p>
    <w:p>
      <w:pPr>
        <w:pStyle w:val="Normal"/>
        <w:spacing w:before="0" w:after="240"/>
        <w:ind w:start="720" w:end="0"/>
        <w:jc w:val="both"/>
        <w:rPr/>
      </w:pPr>
      <w:r>
        <w:rPr/>
        <w:t>c.</w:t>
        <w:tab/>
      </w:r>
      <w:r>
        <w:rPr>
          <w:u w:val="single"/>
        </w:rPr>
        <w:t>Termination by Customer</w:t>
      </w:r>
      <w:r>
        <w:rPr/>
        <w:t>.  When can customer terminate?</w:t>
      </w:r>
    </w:p>
    <w:p>
      <w:pPr>
        <w:pStyle w:val="Normal"/>
        <w:ind w:hanging="720" w:start="2160" w:end="0"/>
        <w:jc w:val="both"/>
        <w:rPr/>
      </w:pPr>
      <w:r>
        <w:rPr/>
        <w:t>i.</w:t>
        <w:tab/>
        <w:t>For Enron’s breach of a material provision of the agreement?</w:t>
      </w:r>
    </w:p>
    <w:p>
      <w:pPr>
        <w:pStyle w:val="Normal"/>
        <w:ind w:hanging="720" w:start="2160" w:end="0"/>
        <w:jc w:val="both"/>
        <w:rPr/>
      </w:pPr>
      <w:r>
        <w:rPr/>
        <w:t>ii.</w:t>
        <w:tab/>
        <w:t>For Enron’s insolvency or bankrupcty?</w:t>
      </w:r>
    </w:p>
    <w:p>
      <w:pPr>
        <w:pStyle w:val="Normal"/>
        <w:ind w:hanging="720" w:start="2160" w:end="0"/>
        <w:jc w:val="both"/>
        <w:rPr/>
      </w:pPr>
      <w:r>
        <w:rPr/>
        <w:t>iii.</w:t>
        <w:tab/>
        <w:t>For “change of control” of Enron?  Only if to undesirable successor (who are specifically identified in advance)? (unfavorable to Enron)</w:t>
      </w:r>
    </w:p>
    <w:p>
      <w:pPr>
        <w:pStyle w:val="Normal"/>
        <w:spacing w:before="0" w:after="240"/>
        <w:ind w:hanging="720" w:start="2160" w:end="0"/>
        <w:jc w:val="both"/>
        <w:rPr/>
      </w:pPr>
      <w:r>
        <w:rPr/>
        <w:t>iv.</w:t>
        <w:tab/>
        <w:t>Without cause, i.e., for any reason or no reason, upon significant advance notice? (unfavorable to Enron)?</w:t>
      </w:r>
    </w:p>
    <w:p>
      <w:pPr>
        <w:pStyle w:val="Normal"/>
        <w:spacing w:before="0" w:after="240"/>
        <w:ind w:hanging="720" w:start="1440" w:end="0"/>
        <w:jc w:val="both"/>
        <w:rPr/>
      </w:pPr>
      <w:r>
        <w:rPr/>
        <w:t>d.</w:t>
        <w:tab/>
      </w:r>
      <w:r>
        <w:rPr>
          <w:u w:val="single"/>
        </w:rPr>
        <w:t>Early Termination Charge</w:t>
      </w:r>
      <w:r>
        <w:rPr/>
        <w:t>.  Will Enron charge an early termination fee for termination resulting from customer’s breach and/or for customer’s termination w/o cause?  If so, how is fee calculated?</w:t>
      </w:r>
    </w:p>
    <w:p>
      <w:pPr>
        <w:pStyle w:val="Normal"/>
        <w:spacing w:before="0" w:after="240"/>
        <w:ind w:hanging="720" w:start="720" w:end="0"/>
        <w:jc w:val="both"/>
        <w:rPr/>
      </w:pPr>
      <w:r>
        <w:rPr/>
        <w:t>6.</w:t>
        <w:tab/>
        <w:t>FEES</w:t>
      </w:r>
    </w:p>
    <w:p>
      <w:pPr>
        <w:pStyle w:val="Normal"/>
        <w:spacing w:before="0" w:after="240"/>
        <w:ind w:hanging="720" w:start="1440" w:end="0"/>
        <w:jc w:val="both"/>
        <w:rPr/>
      </w:pPr>
      <w:r>
        <w:rPr/>
        <w:t>a.</w:t>
        <w:tab/>
      </w:r>
      <w:r>
        <w:rPr>
          <w:u w:val="single"/>
        </w:rPr>
        <w:t>Payment(s)</w:t>
      </w:r>
      <w:r>
        <w:rPr/>
        <w:t>.  Will there be an up-front, one time license fee, or periodic payment for licensing the Software Product?</w:t>
      </w:r>
    </w:p>
    <w:p>
      <w:pPr>
        <w:pStyle w:val="Normal"/>
        <w:spacing w:before="0" w:after="240"/>
        <w:ind w:hanging="720" w:start="1440" w:end="0"/>
        <w:jc w:val="both"/>
        <w:rPr/>
      </w:pPr>
      <w:r>
        <w:rPr/>
        <w:t>b.</w:t>
        <w:tab/>
      </w:r>
      <w:r>
        <w:rPr>
          <w:u w:val="single"/>
        </w:rPr>
        <w:t>Fees for “special rights</w:t>
      </w:r>
      <w:r>
        <w:rPr/>
        <w:t>.”  Will there be incremental fees based on exclusivity; grant of sublicense rights or other “special” rights granted to customer?</w:t>
      </w:r>
    </w:p>
    <w:p>
      <w:pPr>
        <w:pStyle w:val="Normal"/>
        <w:spacing w:before="0" w:after="240"/>
        <w:ind w:hanging="720" w:start="1440" w:end="0"/>
        <w:jc w:val="both"/>
        <w:rPr/>
      </w:pPr>
      <w:r>
        <w:rPr/>
        <w:t>c.</w:t>
        <w:tab/>
      </w:r>
      <w:r>
        <w:rPr>
          <w:u w:val="single"/>
        </w:rPr>
        <w:t>Performance-Based Fees</w:t>
      </w:r>
      <w:r>
        <w:rPr/>
        <w:t>.  Will there be fees based on the level of performance desired (or actually utilized) by the Customer?</w:t>
      </w:r>
    </w:p>
    <w:p>
      <w:pPr>
        <w:pStyle w:val="Normal"/>
        <w:ind w:hanging="720" w:start="2160" w:end="0"/>
        <w:jc w:val="both"/>
        <w:rPr/>
      </w:pPr>
      <w:r>
        <w:rPr/>
        <w:t>i.</w:t>
        <w:tab/>
        <w:t>Number of traded products?</w:t>
      </w:r>
    </w:p>
    <w:p>
      <w:pPr>
        <w:pStyle w:val="Normal"/>
        <w:ind w:hanging="720" w:start="2160" w:end="0"/>
        <w:jc w:val="both"/>
        <w:rPr/>
      </w:pPr>
      <w:r>
        <w:rPr/>
        <w:t>ii.</w:t>
        <w:tab/>
        <w:t>Transaction velocity?</w:t>
      </w:r>
    </w:p>
    <w:p>
      <w:pPr>
        <w:pStyle w:val="Normal"/>
        <w:spacing w:before="0" w:after="240"/>
        <w:ind w:hanging="720" w:start="2160" w:end="0"/>
        <w:jc w:val="both"/>
        <w:rPr/>
      </w:pPr>
      <w:r>
        <w:rPr/>
        <w:t>iii.</w:t>
        <w:tab/>
        <w:t>Number of simultaneous users, number of copies or number of simultaneous “instances” supported?</w:t>
      </w:r>
    </w:p>
    <w:p>
      <w:pPr>
        <w:pStyle w:val="Normal"/>
        <w:spacing w:before="0" w:after="240"/>
        <w:ind w:hanging="720" w:start="1440" w:end="0"/>
        <w:jc w:val="both"/>
        <w:rPr/>
      </w:pPr>
      <w:r>
        <w:rPr/>
        <w:t>d.</w:t>
        <w:tab/>
      </w:r>
      <w:r>
        <w:rPr>
          <w:u w:val="single"/>
        </w:rPr>
        <w:t>Based on Customer Revenue</w:t>
      </w:r>
      <w:r>
        <w:rPr/>
        <w:t>.  Will there be fees tied to customer revenue derived from operation of the Software Product?</w:t>
      </w:r>
    </w:p>
    <w:p>
      <w:pPr>
        <w:pStyle w:val="Normal"/>
        <w:spacing w:before="0" w:after="240"/>
        <w:ind w:hanging="720" w:start="1440" w:end="0"/>
        <w:jc w:val="both"/>
        <w:rPr/>
      </w:pPr>
      <w:r>
        <w:rPr/>
        <w:t>e.</w:t>
        <w:tab/>
      </w:r>
      <w:r>
        <w:rPr>
          <w:u w:val="single"/>
        </w:rPr>
        <w:t>Records and Audits</w:t>
      </w:r>
      <w:r>
        <w:rPr/>
        <w:t>.  Enron will need the ability to ensure that the fees paid are accurate.  Consider:</w:t>
      </w:r>
    </w:p>
    <w:p>
      <w:pPr>
        <w:pStyle w:val="Normal"/>
        <w:ind w:hanging="720" w:start="2160" w:end="0"/>
        <w:jc w:val="both"/>
        <w:rPr/>
      </w:pPr>
      <w:r>
        <w:rPr/>
        <w:t>i.</w:t>
        <w:tab/>
        <w:t>Technological measures to monitor site usage.</w:t>
      </w:r>
    </w:p>
    <w:p>
      <w:pPr>
        <w:pStyle w:val="Normal"/>
        <w:spacing w:before="0" w:after="240"/>
        <w:ind w:hanging="720" w:start="2160" w:end="0"/>
        <w:jc w:val="both"/>
        <w:rPr/>
      </w:pPr>
      <w:r>
        <w:rPr/>
        <w:t>ii.</w:t>
        <w:tab/>
        <w:t>Periodic reports submitted by customer; retention of records by customer; right for Enron to audit records at least once per year.</w:t>
      </w:r>
    </w:p>
    <w:p>
      <w:pPr>
        <w:pStyle w:val="Normal"/>
        <w:spacing w:before="0" w:after="240"/>
        <w:jc w:val="both"/>
        <w:rPr/>
      </w:pPr>
      <w:r>
        <w:rPr/>
        <w:t>7.</w:t>
        <w:tab/>
        <w:t>OTHER ENRON OBLIGATIONS</w:t>
      </w:r>
    </w:p>
    <w:p>
      <w:pPr>
        <w:pStyle w:val="Normal"/>
        <w:spacing w:before="0" w:after="240"/>
        <w:ind w:hanging="720" w:start="1440" w:end="0"/>
        <w:jc w:val="both"/>
        <w:rPr/>
      </w:pPr>
      <w:r>
        <w:rPr/>
        <w:t>a.</w:t>
        <w:tab/>
      </w:r>
      <w:r>
        <w:rPr>
          <w:u w:val="single"/>
        </w:rPr>
        <w:t>Installation</w:t>
      </w:r>
      <w:r>
        <w:rPr/>
        <w:t>.  Will Enron provide services in connection with installation of Software Product at the customer site?  If so, see 13 below.</w:t>
      </w:r>
    </w:p>
    <w:p>
      <w:pPr>
        <w:pStyle w:val="Normal"/>
        <w:spacing w:before="0" w:after="240"/>
        <w:ind w:hanging="720" w:start="1440" w:end="0"/>
        <w:jc w:val="both"/>
        <w:rPr/>
      </w:pPr>
      <w:r>
        <w:rPr/>
        <w:t>b.</w:t>
        <w:tab/>
      </w:r>
      <w:r>
        <w:rPr>
          <w:u w:val="single"/>
        </w:rPr>
        <w:t>Customization</w:t>
      </w:r>
      <w:r>
        <w:rPr/>
        <w:t>.  Will Enron provide or assist with customization of the Software Product?  If so, this should be done under a separate agreement.</w:t>
      </w:r>
    </w:p>
    <w:p>
      <w:pPr>
        <w:pStyle w:val="Normal"/>
        <w:spacing w:before="0" w:after="240"/>
        <w:ind w:hanging="720" w:start="1440" w:end="0"/>
        <w:jc w:val="both"/>
        <w:rPr/>
      </w:pPr>
      <w:r>
        <w:rPr/>
        <w:t>c.</w:t>
        <w:tab/>
      </w:r>
      <w:r>
        <w:rPr>
          <w:u w:val="single"/>
        </w:rPr>
        <w:t>Training</w:t>
      </w:r>
      <w:r>
        <w:rPr/>
        <w:t>.  Will Enron provide training to customer personnel?  If so, see 17 below.</w:t>
      </w:r>
    </w:p>
    <w:p>
      <w:pPr>
        <w:pStyle w:val="Normal"/>
        <w:spacing w:before="0" w:after="240"/>
        <w:ind w:hanging="720" w:start="1440" w:end="0"/>
        <w:jc w:val="both"/>
        <w:rPr/>
      </w:pPr>
      <w:r>
        <w:rPr/>
        <w:t>d.</w:t>
        <w:tab/>
      </w:r>
      <w:r>
        <w:rPr>
          <w:u w:val="single"/>
        </w:rPr>
        <w:t>Support and Maintenance</w:t>
      </w:r>
      <w:r>
        <w:rPr/>
        <w:t>.  Will Enron provide support and maintenance in connection with Software Product?  If so, see 14 below.</w:t>
      </w:r>
    </w:p>
    <w:p>
      <w:pPr>
        <w:pStyle w:val="Normal"/>
        <w:spacing w:before="0" w:after="240"/>
        <w:ind w:hanging="720" w:start="1440" w:end="0"/>
        <w:jc w:val="both"/>
        <w:rPr/>
      </w:pPr>
      <w:r>
        <w:rPr/>
        <w:t>e.</w:t>
        <w:tab/>
      </w:r>
      <w:r>
        <w:rPr>
          <w:u w:val="single"/>
        </w:rPr>
        <w:t>Colocation</w:t>
      </w:r>
      <w:r>
        <w:rPr/>
        <w:t>.  Will Enron allow non-hosted, “install” customers to co-locate their equipment at Enron’s facility for operation of the Software Product?  If so, under what terms?</w:t>
      </w:r>
    </w:p>
    <w:p>
      <w:pPr>
        <w:pStyle w:val="Normal"/>
        <w:spacing w:before="0" w:after="240"/>
        <w:jc w:val="both"/>
        <w:rPr/>
      </w:pPr>
      <w:r>
        <w:rPr/>
        <w:t>8.</w:t>
        <w:tab/>
        <w:t>OWNERSHIP RIGHTS</w:t>
      </w:r>
    </w:p>
    <w:p>
      <w:pPr>
        <w:pStyle w:val="Normal"/>
        <w:spacing w:before="0" w:after="240"/>
        <w:ind w:hanging="720" w:start="1440" w:end="0"/>
        <w:jc w:val="both"/>
        <w:rPr/>
      </w:pPr>
      <w:r>
        <w:rPr/>
        <w:t>a.</w:t>
        <w:tab/>
      </w:r>
      <w:r>
        <w:rPr>
          <w:u w:val="single"/>
        </w:rPr>
        <w:t>Ownership of Software Product</w:t>
      </w:r>
      <w:r>
        <w:rPr/>
        <w:t>.  Enron should maintain ownership of all right, title and interest in the Software Product and any modifications, enhancements or updates to the Software Product that it develops.</w:t>
      </w:r>
    </w:p>
    <w:p>
      <w:pPr>
        <w:pStyle w:val="Normal"/>
        <w:spacing w:before="0" w:after="240"/>
        <w:ind w:hanging="720" w:start="1440" w:end="0"/>
        <w:jc w:val="both"/>
        <w:rPr/>
      </w:pPr>
      <w:r>
        <w:rPr/>
        <w:t>b.</w:t>
        <w:tab/>
      </w:r>
      <w:r>
        <w:rPr>
          <w:u w:val="single"/>
        </w:rPr>
        <w:t>Ownership of Enron-created customizations</w:t>
      </w:r>
      <w:r>
        <w:rPr/>
        <w:t>.  Who will own custom developments that are commissioned by a specific customer?  Enron should endeavor to own all developments created by Enron that are commissioned by the customer.  Joint ownership or other similar arrangements could seriously impair Enron’s ability to develop its products and/or to attract new customers.</w:t>
      </w:r>
    </w:p>
    <w:p>
      <w:pPr>
        <w:pStyle w:val="Normal"/>
        <w:spacing w:before="0" w:after="240"/>
        <w:ind w:hanging="720" w:start="1440" w:end="0"/>
        <w:jc w:val="both"/>
        <w:rPr/>
      </w:pPr>
      <w:r>
        <w:rPr/>
        <w:t>c.</w:t>
        <w:tab/>
      </w:r>
      <w:r>
        <w:rPr>
          <w:u w:val="single"/>
        </w:rPr>
        <w:t>Ownership of Customer-created customizations</w:t>
      </w:r>
      <w:r>
        <w:rPr/>
        <w:t>.  If customer has the right to create modifications, enhancements or updates to the Software Product, who will own these custom developments?  If not owned by Enron, then Enron should obtain a perpetual, royalty-free license (i.e., a “grant back”) to use customer-created customizations in Enron’s own development efforts.</w:t>
      </w:r>
    </w:p>
    <w:p>
      <w:pPr>
        <w:pStyle w:val="Normal"/>
        <w:spacing w:before="0" w:after="240"/>
        <w:jc w:val="both"/>
        <w:rPr/>
      </w:pPr>
      <w:r>
        <w:rPr/>
        <w:t>9.</w:t>
        <w:tab/>
        <w:t>CONFIDENTIALITY</w:t>
      </w:r>
    </w:p>
    <w:p>
      <w:pPr>
        <w:pStyle w:val="Normal"/>
        <w:spacing w:before="0" w:after="240"/>
        <w:ind w:hanging="720" w:start="1440" w:end="0"/>
        <w:jc w:val="both"/>
        <w:rPr/>
      </w:pPr>
      <w:r>
        <w:rPr/>
        <w:t>a.</w:t>
        <w:tab/>
      </w:r>
      <w:r>
        <w:rPr>
          <w:u w:val="single"/>
        </w:rPr>
        <w:t>Non-Disclosure; Non-Use</w:t>
      </w:r>
      <w:r>
        <w:rPr/>
        <w:t>.  Standard non-disclosure and non-use restrictions should be included to protect the confidential information of Enron.  These restrictions may be made mutual if Enron also receives confidential information from the customer.  Such “confidential information” should include:</w:t>
      </w:r>
    </w:p>
    <w:p>
      <w:pPr>
        <w:pStyle w:val="Normal"/>
        <w:ind w:hanging="720" w:start="2160" w:end="0"/>
        <w:jc w:val="both"/>
        <w:rPr/>
      </w:pPr>
      <w:r>
        <w:rPr/>
        <w:t>i.</w:t>
        <w:tab/>
        <w:t>Enron technical information and trade secrets, including source code</w:t>
      </w:r>
    </w:p>
    <w:p>
      <w:pPr>
        <w:pStyle w:val="Normal"/>
        <w:ind w:hanging="720" w:start="2160" w:end="0"/>
        <w:jc w:val="both"/>
        <w:rPr/>
      </w:pPr>
      <w:r>
        <w:rPr/>
        <w:t>ii.</w:t>
        <w:tab/>
        <w:t>Enron business and financial information</w:t>
      </w:r>
    </w:p>
    <w:p>
      <w:pPr>
        <w:pStyle w:val="Normal"/>
        <w:spacing w:before="0" w:after="240"/>
        <w:ind w:hanging="720" w:start="2160" w:end="0"/>
        <w:jc w:val="both"/>
        <w:rPr>
          <w:u w:val="single"/>
        </w:rPr>
      </w:pPr>
      <w:r>
        <w:rPr/>
        <w:t>iii.</w:t>
        <w:tab/>
        <w:t>Enron customer and supplier information</w:t>
      </w:r>
    </w:p>
    <w:p>
      <w:pPr>
        <w:pStyle w:val="Normal"/>
        <w:spacing w:before="0" w:after="240"/>
        <w:jc w:val="both"/>
        <w:rPr/>
      </w:pPr>
      <w:r>
        <w:rPr/>
        <w:t>10.</w:t>
        <w:tab/>
        <w:t>WARRANTIES</w:t>
      </w:r>
    </w:p>
    <w:p>
      <w:pPr>
        <w:pStyle w:val="Normal"/>
        <w:spacing w:before="0" w:after="240"/>
        <w:ind w:hanging="720" w:start="1440" w:end="0"/>
        <w:jc w:val="both"/>
        <w:rPr/>
      </w:pPr>
      <w:r>
        <w:rPr/>
        <w:t>a.</w:t>
        <w:tab/>
      </w:r>
      <w:r>
        <w:rPr>
          <w:u w:val="single"/>
        </w:rPr>
        <w:t>Warranties by Enron</w:t>
      </w:r>
      <w:r>
        <w:rPr/>
        <w:t>.  In addition to representing that Enron has the authority to enter an agreement and to grant the rights granted therein, customers may expect Enron to make the following warranties:</w:t>
      </w:r>
    </w:p>
    <w:p>
      <w:pPr>
        <w:pStyle w:val="Normal"/>
        <w:ind w:hanging="720" w:start="2160" w:end="0"/>
        <w:jc w:val="both"/>
        <w:rPr/>
      </w:pPr>
      <w:r>
        <w:rPr/>
        <w:t>i.</w:t>
        <w:tab/>
      </w:r>
      <w:r>
        <w:rPr>
          <w:b/>
          <w:i/>
        </w:rPr>
        <w:t>That the Software Product will operate in conformance with its specifications and/or documentation.</w:t>
      </w:r>
      <w:r>
        <w:rPr/>
        <w:t xml:space="preserve">  This warranty may be limited in scope of product covered, duration, or remedy allowed (e.g., replacement of defective Software Product).</w:t>
      </w:r>
    </w:p>
    <w:p>
      <w:pPr>
        <w:pStyle w:val="Normal"/>
        <w:ind w:hanging="720" w:start="2160" w:end="0"/>
        <w:jc w:val="both"/>
        <w:rPr/>
      </w:pPr>
      <w:r>
        <w:rPr/>
        <w:t>ii.</w:t>
        <w:tab/>
      </w:r>
      <w:r>
        <w:rPr>
          <w:b/>
          <w:i/>
        </w:rPr>
        <w:t>That the Software Product does not infringe or otherwise violate the intellectual property rights of any third party.</w:t>
      </w:r>
      <w:r>
        <w:rPr/>
        <w:t xml:space="preserve">  This warranty is most often requested by customers, and creates the greatest legal exposure.  It may be limited and/or qualified in a number of ways.</w:t>
      </w:r>
    </w:p>
    <w:p>
      <w:pPr>
        <w:pStyle w:val="Normal"/>
        <w:ind w:start="2160" w:end="0"/>
        <w:jc w:val="both"/>
        <w:rPr>
          <w:i/>
          <w:i/>
        </w:rPr>
      </w:pPr>
      <w:r>
        <w:rPr>
          <w:i/>
        </w:rPr>
        <w:t>Recommendation:  Enron should resist giving a warranty of non-infringement and should require the customer to rely solely on the indemnity obligations set forth below.</w:t>
      </w:r>
    </w:p>
    <w:p>
      <w:pPr>
        <w:pStyle w:val="Normal"/>
        <w:spacing w:before="0" w:after="240"/>
        <w:ind w:hanging="720" w:start="2160" w:end="0"/>
        <w:jc w:val="both"/>
        <w:rPr/>
      </w:pPr>
      <w:r>
        <w:rPr/>
        <w:t>iii.</w:t>
        <w:tab/>
      </w:r>
      <w:r>
        <w:rPr>
          <w:b/>
          <w:i/>
        </w:rPr>
        <w:t>That services performed under the agreement will be performed in a professional and workmanlike manner.</w:t>
      </w:r>
    </w:p>
    <w:p>
      <w:pPr>
        <w:pStyle w:val="Normal"/>
        <w:spacing w:before="0" w:after="240"/>
        <w:ind w:hanging="720" w:start="1440" w:end="0"/>
        <w:jc w:val="both"/>
        <w:rPr/>
      </w:pPr>
      <w:r>
        <w:rPr/>
        <w:t>b.</w:t>
        <w:tab/>
      </w:r>
      <w:r>
        <w:rPr>
          <w:u w:val="single"/>
        </w:rPr>
        <w:t>Otherwise “AS IS”</w:t>
      </w:r>
    </w:p>
    <w:p>
      <w:pPr>
        <w:pStyle w:val="Normal"/>
        <w:spacing w:before="0" w:after="240"/>
        <w:jc w:val="both"/>
        <w:rPr/>
      </w:pPr>
      <w:r>
        <w:rPr/>
        <w:t>11.</w:t>
        <w:tab/>
        <w:t>INDEMNITY</w:t>
      </w:r>
    </w:p>
    <w:p>
      <w:pPr>
        <w:pStyle w:val="Normal"/>
        <w:spacing w:before="0" w:after="240"/>
        <w:ind w:hanging="720" w:start="1440" w:end="0"/>
        <w:jc w:val="both"/>
        <w:rPr/>
      </w:pPr>
      <w:r>
        <w:rPr/>
        <w:t>a.</w:t>
        <w:tab/>
      </w:r>
      <w:r>
        <w:rPr>
          <w:u w:val="single"/>
        </w:rPr>
        <w:t>Risk shifting</w:t>
      </w:r>
      <w:r>
        <w:rPr/>
        <w:t>.  Many customers will expect Enron to assume liability for certain losses that may occur as a result of events not under customer’s control.  Such losses include claims, lawsuits, damages and costs arising out of or relating to:</w:t>
      </w:r>
    </w:p>
    <w:p>
      <w:pPr>
        <w:pStyle w:val="Normal"/>
        <w:ind w:hanging="720" w:start="2160" w:end="0"/>
        <w:jc w:val="both"/>
        <w:rPr/>
      </w:pPr>
      <w:r>
        <w:rPr/>
        <w:t>i.</w:t>
        <w:tab/>
        <w:t>a claim that the Software Product infringes or violates the intellectual property rights of a third party.</w:t>
      </w:r>
    </w:p>
    <w:p>
      <w:pPr>
        <w:pStyle w:val="Normal"/>
        <w:ind w:hanging="720" w:start="2160" w:end="0"/>
        <w:jc w:val="both"/>
        <w:rPr/>
      </w:pPr>
      <w:r>
        <w:rPr/>
        <w:t>ii.</w:t>
        <w:tab/>
        <w:t>negligence or misconduct of any Enron employee or agent.</w:t>
      </w:r>
    </w:p>
    <w:p>
      <w:pPr>
        <w:pStyle w:val="Normal"/>
        <w:spacing w:before="0" w:after="240"/>
        <w:ind w:hanging="720" w:start="2160" w:end="0"/>
        <w:jc w:val="both"/>
        <w:rPr/>
      </w:pPr>
      <w:r>
        <w:rPr/>
        <w:t>iii.</w:t>
        <w:tab/>
        <w:t>breach of Enron’s warranties under the agreement.</w:t>
      </w:r>
    </w:p>
    <w:p>
      <w:pPr>
        <w:pStyle w:val="Normal"/>
        <w:spacing w:before="0" w:after="240"/>
        <w:ind w:hanging="720" w:start="1440" w:end="0"/>
        <w:jc w:val="both"/>
        <w:rPr/>
      </w:pPr>
      <w:r>
        <w:rPr/>
        <w:t>b.</w:t>
        <w:tab/>
      </w:r>
      <w:r>
        <w:rPr>
          <w:u w:val="single"/>
        </w:rPr>
        <w:t>Limits</w:t>
      </w:r>
      <w:r>
        <w:rPr/>
        <w:t>.  If Enron is required to give any of the foregoing indemnities, it should limit them to the fullest extent possible by, for example:</w:t>
      </w:r>
    </w:p>
    <w:p>
      <w:pPr>
        <w:pStyle w:val="Normal"/>
        <w:ind w:hanging="720" w:start="2160" w:end="0"/>
        <w:jc w:val="both"/>
        <w:rPr/>
      </w:pPr>
      <w:r>
        <w:rPr/>
        <w:t>i.</w:t>
        <w:tab/>
        <w:t>Limiting the types of claims it will defend the customer against, such as only those claims alleging that the Software Product infringes an intellectual property right enforceable in the U.S.</w:t>
      </w:r>
    </w:p>
    <w:p>
      <w:pPr>
        <w:pStyle w:val="Normal"/>
        <w:ind w:hanging="720" w:start="2160" w:end="0"/>
        <w:jc w:val="both"/>
        <w:rPr/>
      </w:pPr>
      <w:r>
        <w:rPr/>
        <w:t>ii.</w:t>
        <w:tab/>
        <w:t>Limiting its liability by only agreeing to pay damages finally awarded or paid in settlement of such claims (and agreed to by Enron), and any costs of suit incurred by the customer.</w:t>
      </w:r>
    </w:p>
    <w:p>
      <w:pPr>
        <w:pStyle w:val="Normal"/>
        <w:ind w:hanging="720" w:start="2160" w:end="0"/>
        <w:jc w:val="both"/>
        <w:rPr/>
      </w:pPr>
      <w:r>
        <w:rPr/>
        <w:t>iii.</w:t>
        <w:tab/>
        <w:t>Placing a dollar value cap on the total amount of money Enron must pay the customer for all claims for which the licensee is indemnified (this is difficult to obtain).</w:t>
      </w:r>
    </w:p>
    <w:p>
      <w:pPr>
        <w:pStyle w:val="Normal"/>
        <w:ind w:hanging="720" w:start="2160" w:end="0"/>
        <w:jc w:val="both"/>
        <w:rPr/>
      </w:pPr>
      <w:r>
        <w:rPr/>
        <w:t>iv.</w:t>
        <w:tab/>
        <w:t>Including a total cap on all other damages.</w:t>
      </w:r>
    </w:p>
    <w:p>
      <w:pPr>
        <w:pStyle w:val="Normal"/>
        <w:spacing w:before="0" w:after="240"/>
        <w:ind w:hanging="720" w:start="2160" w:end="0"/>
        <w:jc w:val="both"/>
        <w:rPr/>
      </w:pPr>
      <w:r>
        <w:rPr/>
        <w:t>v.</w:t>
        <w:tab/>
        <w:t>Excluding consequential, incidental and other special or indirect damages.</w:t>
      </w:r>
    </w:p>
    <w:p>
      <w:pPr>
        <w:pStyle w:val="Normal"/>
        <w:spacing w:before="0" w:after="240"/>
        <w:jc w:val="both"/>
        <w:rPr/>
      </w:pPr>
      <w:r>
        <w:rPr/>
        <w:t>12.</w:t>
        <w:tab/>
        <w:t>ADDITIONAL “HOSTING” ISSUES</w:t>
      </w:r>
    </w:p>
    <w:p>
      <w:pPr>
        <w:pStyle w:val="Normal"/>
        <w:spacing w:before="0" w:after="240"/>
        <w:ind w:hanging="720" w:start="1440" w:end="0"/>
        <w:jc w:val="both"/>
        <w:rPr/>
      </w:pPr>
      <w:r>
        <w:rPr/>
        <w:t>a.</w:t>
        <w:tab/>
      </w:r>
      <w:r>
        <w:rPr>
          <w:u w:val="single"/>
        </w:rPr>
        <w:t>Third-Party Licenses</w:t>
      </w:r>
      <w:r>
        <w:rPr/>
        <w:t>.  What special considerations arise with regard to third-party software/hardware used in conjunction with hosting the Software Product?</w:t>
      </w:r>
    </w:p>
    <w:p>
      <w:pPr>
        <w:pStyle w:val="Normal"/>
        <w:ind w:hanging="720" w:start="2160" w:end="0"/>
        <w:jc w:val="both"/>
        <w:rPr/>
      </w:pPr>
      <w:r>
        <w:rPr/>
        <w:t>i.</w:t>
        <w:tab/>
        <w:t>Do these licenses permit Enron to use the software for the benefit of third party?</w:t>
      </w:r>
    </w:p>
    <w:p>
      <w:pPr>
        <w:pStyle w:val="Normal"/>
        <w:spacing w:before="0" w:after="240"/>
        <w:ind w:hanging="720" w:start="2160" w:end="0"/>
        <w:jc w:val="both"/>
        <w:rPr/>
      </w:pPr>
      <w:r>
        <w:rPr/>
        <w:t>ii.</w:t>
        <w:tab/>
        <w:t>What warranties is Enron willing to offer with respect to third-party hardware/software.  Alternatively, can Enron merely pass-through or assign warranties it obtains from third-party providers?</w:t>
      </w:r>
    </w:p>
    <w:p>
      <w:pPr>
        <w:pStyle w:val="Normal"/>
        <w:spacing w:before="0" w:after="240"/>
        <w:ind w:hanging="720" w:start="1440" w:end="0"/>
        <w:jc w:val="both"/>
        <w:rPr/>
      </w:pPr>
      <w:r>
        <w:rPr/>
        <w:t>b.</w:t>
        <w:tab/>
      </w:r>
      <w:r>
        <w:rPr>
          <w:u w:val="single"/>
        </w:rPr>
        <w:t>Outsourcing</w:t>
      </w:r>
      <w:r>
        <w:rPr/>
        <w:t>.  Will Enron always host or is it possible that it will outsource hosting to a third party?  If so, then Enron needs to ensure that the third-party host can honor Enron’s commitments to its customers.</w:t>
      </w:r>
    </w:p>
    <w:p>
      <w:pPr>
        <w:pStyle w:val="Normal"/>
        <w:spacing w:before="0" w:after="240"/>
        <w:ind w:hanging="720" w:start="1440" w:end="0"/>
        <w:jc w:val="both"/>
        <w:rPr/>
      </w:pPr>
      <w:r>
        <w:rPr/>
        <w:t>c.</w:t>
        <w:tab/>
      </w:r>
      <w:r>
        <w:rPr>
          <w:u w:val="single"/>
        </w:rPr>
        <w:t>Service Levels Guarantees</w:t>
      </w:r>
      <w:r>
        <w:rPr/>
        <w:t>.</w:t>
      </w:r>
    </w:p>
    <w:p>
      <w:pPr>
        <w:pStyle w:val="Normal"/>
        <w:ind w:hanging="720" w:start="2160" w:end="0"/>
        <w:jc w:val="both"/>
        <w:rPr/>
      </w:pPr>
      <w:r>
        <w:rPr/>
        <w:t>i.</w:t>
        <w:tab/>
        <w:t>What service levels will apply to Enron’s provision of service:  Uptime?  Number of Traded Products?  Transaction velocity?</w:t>
      </w:r>
    </w:p>
    <w:p>
      <w:pPr>
        <w:pStyle w:val="Normal"/>
        <w:ind w:hanging="720" w:start="2160" w:end="0"/>
        <w:jc w:val="both"/>
        <w:rPr/>
      </w:pPr>
      <w:r>
        <w:rPr/>
        <w:t>ii.</w:t>
        <w:tab/>
        <w:t>How will service levels be monitored and reported?</w:t>
      </w:r>
    </w:p>
    <w:p>
      <w:pPr>
        <w:pStyle w:val="Normal"/>
        <w:ind w:hanging="720" w:start="2160" w:end="0"/>
        <w:jc w:val="both"/>
        <w:rPr/>
      </w:pPr>
      <w:r>
        <w:rPr/>
        <w:t>iii.</w:t>
        <w:tab/>
        <w:t>What credits will apply if Enron fails to meet service levels?</w:t>
      </w:r>
    </w:p>
    <w:p>
      <w:pPr>
        <w:pStyle w:val="Normal"/>
        <w:ind w:hanging="720" w:start="2160" w:end="0"/>
        <w:jc w:val="both"/>
        <w:rPr/>
      </w:pPr>
      <w:r>
        <w:rPr/>
        <w:t>iv.</w:t>
        <w:tab/>
        <w:t>Will limits be placed on the amount of credits that can apply over a given period?</w:t>
      </w:r>
    </w:p>
    <w:p>
      <w:pPr>
        <w:pStyle w:val="Normal"/>
        <w:spacing w:before="0" w:after="240"/>
        <w:ind w:hanging="720" w:start="2160" w:end="0"/>
        <w:jc w:val="both"/>
        <w:rPr/>
      </w:pPr>
      <w:r>
        <w:rPr/>
        <w:t>v.</w:t>
        <w:tab/>
        <w:t>Will there be periodic review and/or adjustment of service levels?</w:t>
      </w:r>
    </w:p>
    <w:p>
      <w:pPr>
        <w:pStyle w:val="Normal"/>
        <w:spacing w:before="0" w:after="240"/>
        <w:ind w:start="720" w:end="0"/>
        <w:jc w:val="both"/>
        <w:rPr/>
      </w:pPr>
      <w:r>
        <w:rPr/>
        <w:t>d.</w:t>
        <w:tab/>
      </w:r>
      <w:r>
        <w:rPr>
          <w:u w:val="single"/>
        </w:rPr>
        <w:t>Disaster Recovery Plan</w:t>
      </w:r>
      <w:r>
        <w:rPr/>
        <w:t>.  Does Enron have a disaster recovery plan that will cover Enron hosting the Software Product for third parties (i.e., customers)?</w:t>
      </w:r>
    </w:p>
    <w:p>
      <w:pPr>
        <w:pStyle w:val="Normal"/>
        <w:spacing w:before="0" w:after="240"/>
        <w:ind w:hanging="720" w:start="1440" w:end="0"/>
        <w:jc w:val="both"/>
        <w:rPr/>
      </w:pPr>
      <w:r>
        <w:rPr/>
        <w:t>e.</w:t>
        <w:tab/>
      </w:r>
      <w:r>
        <w:rPr>
          <w:u w:val="single"/>
        </w:rPr>
        <w:t>Customer Obligations</w:t>
      </w:r>
      <w:r>
        <w:rPr/>
        <w:t>.  What products and/or services will Enron expect its customers to provide to enable Enron to deliver service to customers?</w:t>
      </w:r>
    </w:p>
    <w:p>
      <w:pPr>
        <w:pStyle w:val="Normal"/>
        <w:ind w:start="1440" w:end="0"/>
        <w:jc w:val="both"/>
        <w:rPr/>
      </w:pPr>
      <w:r>
        <w:rPr/>
        <w:t>i.</w:t>
        <w:tab/>
        <w:t>Internet connectivity?</w:t>
      </w:r>
    </w:p>
    <w:p>
      <w:pPr>
        <w:pStyle w:val="Normal"/>
        <w:ind w:start="1440" w:end="0"/>
        <w:jc w:val="both"/>
        <w:rPr/>
      </w:pPr>
      <w:r>
        <w:rPr/>
        <w:t>ii.</w:t>
        <w:tab/>
        <w:t>Private networks?</w:t>
      </w:r>
    </w:p>
    <w:p>
      <w:pPr>
        <w:pStyle w:val="Normal"/>
        <w:spacing w:before="0" w:after="240"/>
        <w:ind w:start="1440" w:end="0"/>
        <w:jc w:val="both"/>
        <w:rPr/>
      </w:pPr>
      <w:r>
        <w:rPr/>
        <w:t>iii.</w:t>
        <w:tab/>
        <w:t>Other special equipment or connections?</w:t>
      </w:r>
    </w:p>
    <w:p>
      <w:pPr>
        <w:pStyle w:val="Normal"/>
        <w:spacing w:before="0" w:after="240"/>
        <w:ind w:hanging="720" w:start="1440" w:end="0"/>
        <w:jc w:val="both"/>
        <w:rPr/>
      </w:pPr>
      <w:r>
        <w:rPr/>
        <w:t>f.</w:t>
        <w:tab/>
      </w:r>
      <w:r>
        <w:rPr>
          <w:u w:val="single"/>
        </w:rPr>
        <w:t>System Interaction</w:t>
      </w:r>
      <w:r>
        <w:rPr/>
        <w:t>.  What is the impact on Enron’s use of EnronOnline if customer(s) exceed usage or performance limits for the Software Product?  Can Enron control with technical measures?  What contractual flexibility does Enron need to deal with contingencies caused by conflicts between Enron’s use of EnronOnline and hosting of a customer’s Software Product:</w:t>
      </w:r>
    </w:p>
    <w:p>
      <w:pPr>
        <w:pStyle w:val="Normal"/>
        <w:ind w:hanging="720" w:start="2160" w:end="0"/>
        <w:jc w:val="both"/>
        <w:rPr/>
      </w:pPr>
      <w:r>
        <w:rPr/>
        <w:t>i.</w:t>
        <w:tab/>
        <w:t>Right to alter or suspend service at any time if necessary to protect Enron or other Enron customers?</w:t>
      </w:r>
    </w:p>
    <w:p>
      <w:pPr>
        <w:pStyle w:val="Normal"/>
        <w:ind w:hanging="720" w:start="2160" w:end="0"/>
        <w:jc w:val="both"/>
        <w:rPr/>
      </w:pPr>
      <w:r>
        <w:rPr/>
        <w:t>ii.</w:t>
        <w:tab/>
        <w:t>Right to terminate or suspend service if customer exceeds usage or performance limits in contract?</w:t>
      </w:r>
    </w:p>
    <w:p>
      <w:pPr>
        <w:pStyle w:val="Normal"/>
        <w:spacing w:before="0" w:after="240"/>
        <w:ind w:hanging="720" w:start="2160" w:end="0"/>
        <w:jc w:val="both"/>
        <w:rPr/>
      </w:pPr>
      <w:r>
        <w:rPr/>
        <w:t>iii.</w:t>
        <w:tab/>
        <w:t>Right to charge for any additional software or equipment required to accommodate customer’s use beyond usage and/or performance limits?</w:t>
      </w:r>
    </w:p>
    <w:p>
      <w:pPr>
        <w:pStyle w:val="Normal"/>
        <w:spacing w:before="0" w:after="240"/>
        <w:jc w:val="both"/>
        <w:rPr/>
      </w:pPr>
      <w:r>
        <w:rPr/>
        <w:t>13.</w:t>
        <w:tab/>
        <w:t>INSTALLATION ISSUES</w:t>
      </w:r>
    </w:p>
    <w:p>
      <w:pPr>
        <w:pStyle w:val="Normal"/>
        <w:spacing w:before="0" w:after="240"/>
        <w:ind w:hanging="720" w:start="1440" w:end="0"/>
        <w:jc w:val="both"/>
        <w:rPr/>
      </w:pPr>
      <w:r>
        <w:rPr/>
        <w:t>a.</w:t>
        <w:tab/>
      </w:r>
      <w:r>
        <w:rPr>
          <w:u w:val="single"/>
        </w:rPr>
        <w:t>Installation Fees</w:t>
      </w:r>
      <w:r>
        <w:rPr/>
        <w:t>.  Will Enron charge separate fees for installation services?</w:t>
      </w:r>
    </w:p>
    <w:p>
      <w:pPr>
        <w:pStyle w:val="Normal"/>
        <w:spacing w:before="0" w:after="240"/>
        <w:ind w:hanging="720" w:start="1440" w:end="0"/>
        <w:jc w:val="both"/>
        <w:rPr/>
      </w:pPr>
      <w:r>
        <w:rPr/>
        <w:t>b.</w:t>
        <w:tab/>
      </w:r>
      <w:r>
        <w:rPr>
          <w:u w:val="single"/>
        </w:rPr>
        <w:t>Scheduling</w:t>
      </w:r>
      <w:r>
        <w:rPr/>
        <w:t>.  To what scheduling is Enron willing to commit?  What customer contingencies will affect Enron’s ability to meet its schedule?</w:t>
      </w:r>
    </w:p>
    <w:p>
      <w:pPr>
        <w:pStyle w:val="Normal"/>
        <w:spacing w:before="0" w:after="240"/>
        <w:ind w:hanging="720" w:start="1440" w:end="0"/>
        <w:jc w:val="both"/>
        <w:rPr/>
      </w:pPr>
      <w:r>
        <w:rPr/>
        <w:t>c.</w:t>
        <w:tab/>
      </w:r>
      <w:r>
        <w:rPr>
          <w:u w:val="single"/>
        </w:rPr>
        <w:t>Customer obligations</w:t>
      </w:r>
      <w:r>
        <w:rPr/>
        <w:t>.  What hardware or software is the customer required to have in place to before installation can begin?</w:t>
      </w:r>
    </w:p>
    <w:p>
      <w:pPr>
        <w:pStyle w:val="Normal"/>
        <w:spacing w:before="0" w:after="240"/>
        <w:ind w:hanging="720" w:start="1440" w:end="0"/>
        <w:jc w:val="both"/>
        <w:rPr/>
      </w:pPr>
      <w:r>
        <w:rPr/>
        <w:t>d.</w:t>
        <w:tab/>
      </w:r>
      <w:r>
        <w:rPr>
          <w:u w:val="single"/>
        </w:rPr>
        <w:t>Acceptance</w:t>
      </w:r>
      <w:r>
        <w:rPr/>
        <w:t>.  What criteria will be used for customer acceptance of an installation?  Criteria should be clear and achievable to support revenue recognition objectives.</w:t>
      </w:r>
    </w:p>
    <w:p>
      <w:pPr>
        <w:pStyle w:val="Normal"/>
        <w:spacing w:before="0" w:after="240"/>
        <w:jc w:val="both"/>
        <w:rPr/>
      </w:pPr>
      <w:r>
        <w:rPr/>
        <w:t>14.</w:t>
        <w:tab/>
        <w:t>MAINTENANCE AND SUPPORT ISSUES</w:t>
      </w:r>
    </w:p>
    <w:p>
      <w:pPr>
        <w:pStyle w:val="Normal"/>
        <w:spacing w:before="0" w:after="240"/>
        <w:ind w:hanging="720" w:start="1440" w:end="0"/>
        <w:jc w:val="both"/>
        <w:rPr/>
      </w:pPr>
      <w:r>
        <w:rPr/>
        <w:t>a.</w:t>
        <w:tab/>
      </w:r>
      <w:r>
        <w:rPr>
          <w:u w:val="single"/>
        </w:rPr>
        <w:t>Scope of services</w:t>
      </w:r>
      <w:r>
        <w:rPr/>
        <w:t>.  What is the scope of maintenance and support services that will be provided?</w:t>
      </w:r>
    </w:p>
    <w:p>
      <w:pPr>
        <w:pStyle w:val="Normal"/>
        <w:ind w:hanging="720" w:start="2160" w:end="0"/>
        <w:jc w:val="both"/>
        <w:rPr/>
      </w:pPr>
      <w:r>
        <w:rPr/>
        <w:t>i.</w:t>
        <w:tab/>
        <w:t>First-level support to end-users?</w:t>
      </w:r>
    </w:p>
    <w:p>
      <w:pPr>
        <w:pStyle w:val="Normal"/>
        <w:ind w:hanging="720" w:start="2160" w:end="0"/>
        <w:jc w:val="both"/>
        <w:rPr/>
      </w:pPr>
      <w:r>
        <w:rPr/>
        <w:t>ii.</w:t>
        <w:tab/>
        <w:t>Second-level support to the customer’s tech support team?</w:t>
      </w:r>
    </w:p>
    <w:p>
      <w:pPr>
        <w:pStyle w:val="Normal"/>
        <w:spacing w:before="0" w:after="240"/>
        <w:ind w:hanging="720" w:start="2160" w:end="0"/>
        <w:jc w:val="both"/>
        <w:rPr/>
      </w:pPr>
      <w:r>
        <w:rPr/>
        <w:t>iii.</w:t>
        <w:tab/>
        <w:t>What are the support obligations of the customer?</w:t>
      </w:r>
    </w:p>
    <w:p>
      <w:pPr>
        <w:pStyle w:val="Normal"/>
        <w:spacing w:before="0" w:after="240"/>
        <w:ind w:hanging="720" w:start="1440" w:end="0"/>
        <w:jc w:val="both"/>
        <w:rPr/>
      </w:pPr>
      <w:r>
        <w:rPr/>
        <w:t>b.</w:t>
        <w:tab/>
      </w:r>
      <w:r>
        <w:rPr>
          <w:u w:val="single"/>
        </w:rPr>
        <w:t>Type of services</w:t>
      </w:r>
      <w:r>
        <w:rPr/>
        <w:t>.  What type of maintenance and support services will be provided?</w:t>
      </w:r>
    </w:p>
    <w:p>
      <w:pPr>
        <w:pStyle w:val="Normal"/>
        <w:ind w:hanging="720" w:start="2160" w:end="0"/>
        <w:jc w:val="both"/>
        <w:rPr/>
      </w:pPr>
      <w:r>
        <w:rPr/>
        <w:t>i.</w:t>
        <w:tab/>
        <w:t>Periodic updates?</w:t>
      </w:r>
    </w:p>
    <w:p>
      <w:pPr>
        <w:pStyle w:val="Normal"/>
        <w:spacing w:before="0" w:after="240"/>
        <w:ind w:hanging="720" w:start="2160" w:end="0"/>
        <w:jc w:val="both"/>
        <w:rPr/>
      </w:pPr>
      <w:r>
        <w:rPr/>
        <w:t>ii.</w:t>
        <w:tab/>
        <w:t>Software Product bug fixes</w:t>
      </w:r>
    </w:p>
    <w:p>
      <w:pPr>
        <w:pStyle w:val="Normal"/>
        <w:spacing w:before="0" w:after="240"/>
        <w:ind w:hanging="720" w:start="1440" w:end="0"/>
        <w:jc w:val="both"/>
        <w:rPr/>
      </w:pPr>
      <w:r>
        <w:rPr/>
        <w:t>c.</w:t>
        <w:tab/>
      </w:r>
      <w:r>
        <w:rPr>
          <w:u w:val="single"/>
        </w:rPr>
        <w:t>Effect of Customization</w:t>
      </w:r>
      <w:r>
        <w:rPr/>
        <w:t>.  How are maintenance and support obligations affected by customization of the “core”?</w:t>
      </w:r>
    </w:p>
    <w:p>
      <w:pPr>
        <w:pStyle w:val="Normal"/>
        <w:spacing w:before="0" w:after="240"/>
        <w:ind w:start="1440" w:end="0"/>
        <w:jc w:val="both"/>
        <w:rPr>
          <w:i/>
          <w:i/>
        </w:rPr>
      </w:pPr>
      <w:r>
        <w:rPr>
          <w:i/>
        </w:rPr>
        <w:t>Recommendation:  Enron’s support and maintenance obligations to customers – including the duty to provide updates to the Software Product – should cease when the customer or Enron customizes the core code for the customer’s use.</w:t>
      </w:r>
    </w:p>
    <w:p>
      <w:pPr>
        <w:pStyle w:val="Normal"/>
        <w:spacing w:before="0" w:after="240"/>
        <w:ind w:hanging="720" w:start="1440" w:end="0"/>
        <w:jc w:val="both"/>
        <w:rPr/>
      </w:pPr>
      <w:r>
        <w:rPr/>
        <w:t>d.</w:t>
        <w:tab/>
      </w:r>
      <w:r>
        <w:rPr>
          <w:u w:val="single"/>
        </w:rPr>
        <w:t>Maintenance contract term</w:t>
      </w:r>
      <w:r>
        <w:rPr/>
        <w:t>.  Over what time period will Enron provide support and maintenance?</w:t>
      </w:r>
    </w:p>
    <w:p>
      <w:pPr>
        <w:pStyle w:val="Normal"/>
        <w:ind w:hanging="720" w:start="2160" w:end="0"/>
        <w:jc w:val="both"/>
        <w:rPr/>
      </w:pPr>
      <w:r>
        <w:rPr/>
        <w:t>i.</w:t>
        <w:tab/>
        <w:t>One year?</w:t>
      </w:r>
    </w:p>
    <w:p>
      <w:pPr>
        <w:pStyle w:val="Normal"/>
        <w:spacing w:before="0" w:after="240"/>
        <w:ind w:hanging="720" w:start="2160" w:end="0"/>
        <w:jc w:val="both"/>
        <w:rPr/>
      </w:pPr>
      <w:r>
        <w:rPr/>
        <w:t>ii.</w:t>
        <w:tab/>
        <w:t>Term of license?</w:t>
      </w:r>
    </w:p>
    <w:p>
      <w:pPr>
        <w:pStyle w:val="Normal"/>
        <w:spacing w:before="0" w:after="240"/>
        <w:ind w:hanging="720" w:start="1440" w:end="0"/>
        <w:jc w:val="both"/>
        <w:rPr/>
      </w:pPr>
      <w:r>
        <w:rPr/>
        <w:t>e.</w:t>
        <w:tab/>
      </w:r>
      <w:r>
        <w:rPr>
          <w:u w:val="single"/>
        </w:rPr>
        <w:t>Delivery</w:t>
      </w:r>
      <w:r>
        <w:rPr/>
        <w:t>.  How will support and maintenance be delivered?</w:t>
      </w:r>
    </w:p>
    <w:p>
      <w:pPr>
        <w:pStyle w:val="Normal"/>
        <w:ind w:hanging="720" w:start="2160" w:end="0"/>
        <w:jc w:val="both"/>
        <w:rPr/>
      </w:pPr>
      <w:r>
        <w:rPr/>
        <w:t>i.</w:t>
        <w:tab/>
        <w:t>Telephone support?</w:t>
      </w:r>
    </w:p>
    <w:p>
      <w:pPr>
        <w:pStyle w:val="Normal"/>
        <w:ind w:hanging="720" w:start="2160" w:end="0"/>
        <w:jc w:val="both"/>
        <w:rPr/>
      </w:pPr>
      <w:r>
        <w:rPr/>
        <w:t>ii.</w:t>
        <w:tab/>
        <w:t>E-mail support?</w:t>
      </w:r>
    </w:p>
    <w:p>
      <w:pPr>
        <w:pStyle w:val="Normal"/>
        <w:spacing w:before="0" w:after="240"/>
        <w:ind w:hanging="720" w:start="2160" w:end="0"/>
        <w:jc w:val="both"/>
        <w:rPr/>
      </w:pPr>
      <w:r>
        <w:rPr/>
        <w:t>iii.</w:t>
        <w:tab/>
        <w:t>On-site support?</w:t>
      </w:r>
    </w:p>
    <w:p>
      <w:pPr>
        <w:pStyle w:val="Normal"/>
        <w:spacing w:before="0" w:after="240"/>
        <w:ind w:hanging="720" w:start="1440" w:end="0"/>
        <w:jc w:val="both"/>
        <w:rPr/>
      </w:pPr>
      <w:r>
        <w:rPr/>
        <w:t>f.</w:t>
        <w:tab/>
      </w:r>
      <w:r>
        <w:rPr>
          <w:u w:val="single"/>
        </w:rPr>
        <w:t>Availability</w:t>
      </w:r>
      <w:r>
        <w:rPr/>
        <w:t>.  When will support and maintenance services be available?</w:t>
      </w:r>
    </w:p>
    <w:p>
      <w:pPr>
        <w:pStyle w:val="Normal"/>
        <w:ind w:hanging="720" w:start="2160" w:end="0"/>
        <w:jc w:val="both"/>
        <w:rPr/>
      </w:pPr>
      <w:r>
        <w:rPr/>
        <w:t>i.</w:t>
        <w:tab/>
        <w:t>Normal business hours?</w:t>
      </w:r>
    </w:p>
    <w:p>
      <w:pPr>
        <w:pStyle w:val="Normal"/>
        <w:spacing w:before="0" w:after="240"/>
        <w:ind w:hanging="720" w:start="2160" w:end="0"/>
        <w:jc w:val="both"/>
        <w:rPr/>
      </w:pPr>
      <w:r>
        <w:rPr/>
        <w:t>ii.</w:t>
        <w:tab/>
        <w:t>24/7 excluding major holidays?</w:t>
      </w:r>
    </w:p>
    <w:p>
      <w:pPr>
        <w:pStyle w:val="Normal"/>
        <w:spacing w:before="0" w:after="240"/>
        <w:ind w:hanging="720" w:start="1440" w:end="0"/>
        <w:jc w:val="both"/>
        <w:rPr/>
      </w:pPr>
      <w:r>
        <w:rPr/>
        <w:t>g.</w:t>
        <w:tab/>
      </w:r>
      <w:r>
        <w:rPr>
          <w:u w:val="single"/>
        </w:rPr>
        <w:t>Price</w:t>
      </w:r>
      <w:r>
        <w:rPr/>
        <w:t>.  What fees are charged for support and maintenance?</w:t>
      </w:r>
    </w:p>
    <w:p>
      <w:pPr>
        <w:pStyle w:val="Normal"/>
        <w:ind w:hanging="720" w:start="2160" w:end="0"/>
        <w:jc w:val="both"/>
        <w:rPr/>
      </w:pPr>
      <w:r>
        <w:rPr/>
        <w:t>i.</w:t>
        <w:tab/>
        <w:t>No additional charge for limited period?</w:t>
      </w:r>
    </w:p>
    <w:p>
      <w:pPr>
        <w:pStyle w:val="Normal"/>
        <w:ind w:hanging="720" w:start="2160" w:end="0"/>
        <w:jc w:val="both"/>
        <w:rPr/>
      </w:pPr>
      <w:r>
        <w:rPr/>
        <w:t>ii.</w:t>
        <w:tab/>
        <w:t>Fixed fee?</w:t>
      </w:r>
    </w:p>
    <w:p>
      <w:pPr>
        <w:pStyle w:val="Normal"/>
        <w:spacing w:before="0" w:after="240"/>
        <w:ind w:hanging="720" w:start="2160" w:end="0"/>
        <w:jc w:val="both"/>
        <w:rPr/>
      </w:pPr>
      <w:r>
        <w:rPr/>
        <w:t>iii.</w:t>
        <w:tab/>
        <w:t>Hourly rates?</w:t>
      </w:r>
    </w:p>
    <w:p>
      <w:pPr>
        <w:pStyle w:val="Normal"/>
        <w:spacing w:before="0" w:after="240"/>
        <w:ind w:hanging="720" w:start="1440" w:end="0"/>
        <w:jc w:val="both"/>
        <w:rPr/>
      </w:pPr>
      <w:r>
        <w:rPr/>
        <w:t>f.</w:t>
        <w:tab/>
      </w:r>
      <w:r>
        <w:rPr>
          <w:u w:val="single"/>
        </w:rPr>
        <w:t>Expenses</w:t>
      </w:r>
      <w:r>
        <w:rPr/>
        <w:t>.  Who pays Enron’s out-of-pocket expenses in connection with support and maintenance?</w:t>
      </w:r>
    </w:p>
    <w:p>
      <w:pPr>
        <w:pStyle w:val="Normal"/>
        <w:spacing w:before="0" w:after="240"/>
        <w:ind w:hanging="720" w:start="1440" w:end="0"/>
        <w:jc w:val="both"/>
        <w:rPr/>
      </w:pPr>
      <w:r>
        <w:rPr/>
        <w:t>g.</w:t>
        <w:tab/>
      </w:r>
      <w:r>
        <w:rPr>
          <w:u w:val="single"/>
        </w:rPr>
        <w:t>Response Times</w:t>
      </w:r>
      <w:r>
        <w:rPr/>
        <w:t>.  What are response times for support requests?  Define response-time matrix based on severity.</w:t>
      </w:r>
    </w:p>
    <w:p>
      <w:pPr>
        <w:pStyle w:val="Normal"/>
        <w:spacing w:before="0" w:after="240"/>
        <w:ind w:hanging="720" w:start="1440" w:end="0"/>
        <w:jc w:val="both"/>
        <w:rPr/>
      </w:pPr>
      <w:r>
        <w:rPr/>
        <w:t>h.</w:t>
        <w:tab/>
      </w:r>
      <w:r>
        <w:rPr>
          <w:u w:val="single"/>
        </w:rPr>
        <w:t>Credits</w:t>
      </w:r>
      <w:r>
        <w:rPr/>
        <w:t>.  What credit allowances will apply if response times are not met.</w:t>
      </w:r>
    </w:p>
    <w:p>
      <w:pPr>
        <w:pStyle w:val="Normal"/>
        <w:spacing w:before="0" w:after="240"/>
        <w:jc w:val="both"/>
        <w:rPr/>
      </w:pPr>
      <w:r>
        <w:rPr/>
        <w:t>15.</w:t>
        <w:tab/>
        <w:t>ESCROW ISSUES</w:t>
      </w:r>
    </w:p>
    <w:p>
      <w:pPr>
        <w:pStyle w:val="Normal"/>
        <w:spacing w:before="0" w:after="240"/>
        <w:ind w:hanging="720" w:start="1440" w:end="0"/>
        <w:jc w:val="both"/>
        <w:rPr/>
      </w:pPr>
      <w:r>
        <w:rPr/>
        <w:t>a.</w:t>
        <w:tab/>
      </w:r>
      <w:r>
        <w:rPr>
          <w:u w:val="single"/>
        </w:rPr>
        <w:t>Source Code</w:t>
      </w:r>
      <w:r>
        <w:rPr/>
        <w:t>.  Will customer need to rely on source code if Enron is unable or unwilling to perform certain services?</w:t>
      </w:r>
    </w:p>
    <w:p>
      <w:pPr>
        <w:pStyle w:val="Normal"/>
        <w:spacing w:before="0" w:after="240"/>
        <w:ind w:hanging="720" w:start="1440" w:end="0"/>
        <w:jc w:val="both"/>
        <w:rPr/>
      </w:pPr>
      <w:r>
        <w:rPr/>
        <w:t>b.</w:t>
        <w:tab/>
      </w:r>
      <w:r>
        <w:rPr>
          <w:u w:val="single"/>
        </w:rPr>
        <w:t>Escrow agreement</w:t>
      </w:r>
      <w:r>
        <w:rPr/>
        <w:t>.  If so, Enron and the customer should consider entering into an escrow agreement to release the source code to customer upon the occurrence of certain events:</w:t>
      </w:r>
    </w:p>
    <w:p>
      <w:pPr>
        <w:pStyle w:val="Normal"/>
        <w:ind w:hanging="720" w:start="2160" w:end="0"/>
        <w:jc w:val="both"/>
        <w:rPr/>
      </w:pPr>
      <w:r>
        <w:rPr/>
        <w:t>i.</w:t>
        <w:tab/>
        <w:t>Failure to perform support and maintenance obligations.</w:t>
      </w:r>
    </w:p>
    <w:p>
      <w:pPr>
        <w:pStyle w:val="Normal"/>
        <w:ind w:hanging="720" w:start="2160" w:end="0"/>
        <w:jc w:val="both"/>
        <w:rPr/>
      </w:pPr>
      <w:r>
        <w:rPr/>
        <w:t>ii.</w:t>
        <w:tab/>
        <w:t>Failure to perform or complete requested customization.</w:t>
      </w:r>
    </w:p>
    <w:p>
      <w:pPr>
        <w:pStyle w:val="Normal"/>
        <w:ind w:hanging="720" w:start="2160" w:end="0"/>
        <w:jc w:val="both"/>
        <w:rPr/>
      </w:pPr>
      <w:r>
        <w:rPr/>
        <w:t>iii.</w:t>
        <w:tab/>
        <w:t>Enron ceasing to operate in ordinary course.</w:t>
      </w:r>
    </w:p>
    <w:p>
      <w:pPr>
        <w:pStyle w:val="Normal"/>
        <w:spacing w:before="0" w:after="240"/>
        <w:ind w:hanging="720" w:start="2160" w:end="0"/>
        <w:jc w:val="both"/>
        <w:rPr/>
      </w:pPr>
      <w:r>
        <w:rPr/>
        <w:t>iv.</w:t>
        <w:tab/>
        <w:t>Bankruptcy/insolvency of Enron.</w:t>
      </w:r>
    </w:p>
    <w:p>
      <w:pPr>
        <w:pStyle w:val="Normal"/>
        <w:spacing w:before="0" w:after="240"/>
        <w:ind w:hanging="720" w:start="1440" w:end="0"/>
        <w:jc w:val="both"/>
        <w:rPr/>
      </w:pPr>
      <w:r>
        <w:rPr/>
        <w:t>c.</w:t>
        <w:tab/>
      </w:r>
      <w:r>
        <w:rPr>
          <w:u w:val="single"/>
        </w:rPr>
        <w:t>Escrow agent</w:t>
      </w:r>
      <w:r>
        <w:rPr/>
        <w:t>.  Who pays costs of escrow agent?</w:t>
      </w:r>
    </w:p>
    <w:p>
      <w:pPr>
        <w:pStyle w:val="Normal"/>
        <w:spacing w:before="0" w:after="240"/>
        <w:jc w:val="both"/>
        <w:rPr/>
      </w:pPr>
      <w:r>
        <w:rPr/>
        <w:t>16.</w:t>
        <w:tab/>
        <w:t>CONSULTING</w:t>
      </w:r>
    </w:p>
    <w:p>
      <w:pPr>
        <w:pStyle w:val="Normal"/>
        <w:spacing w:before="0" w:after="240"/>
        <w:ind w:hanging="720" w:start="1440" w:end="0"/>
        <w:jc w:val="both"/>
        <w:rPr/>
      </w:pPr>
      <w:r>
        <w:rPr/>
        <w:t>a.</w:t>
        <w:tab/>
      </w:r>
      <w:r>
        <w:rPr>
          <w:u w:val="single"/>
        </w:rPr>
        <w:t>Services performed and scheduling</w:t>
      </w:r>
      <w:r>
        <w:rPr/>
        <w:t>.  What services will Enron perform?  Describe services in detail including scheduling.  If complex, include milestones to mark progress.</w:t>
      </w:r>
    </w:p>
    <w:p>
      <w:pPr>
        <w:pStyle w:val="Normal"/>
        <w:spacing w:before="0" w:after="240"/>
        <w:ind w:hanging="720" w:start="1440" w:end="0"/>
        <w:jc w:val="both"/>
        <w:rPr/>
      </w:pPr>
      <w:r>
        <w:rPr/>
        <w:t>b.</w:t>
        <w:tab/>
      </w:r>
      <w:r>
        <w:rPr>
          <w:u w:val="single"/>
        </w:rPr>
        <w:t>Ownership of work product</w:t>
      </w:r>
      <w:r>
        <w:rPr/>
        <w:t>.  Who will own work product produced from consulting effort?  Enron should take care not to preclude itself from being able to perform work for other customers.</w:t>
      </w:r>
    </w:p>
    <w:p>
      <w:pPr>
        <w:pStyle w:val="Normal"/>
        <w:spacing w:before="0" w:after="240"/>
        <w:jc w:val="both"/>
        <w:rPr/>
      </w:pPr>
      <w:r>
        <w:rPr/>
        <w:t>17.</w:t>
        <w:tab/>
        <w:t>TRAINING</w:t>
      </w:r>
    </w:p>
    <w:p>
      <w:pPr>
        <w:pStyle w:val="Normal"/>
        <w:spacing w:before="0" w:after="240"/>
        <w:ind w:hanging="720" w:start="1440" w:end="0"/>
        <w:jc w:val="both"/>
        <w:rPr/>
      </w:pPr>
      <w:r>
        <w:rPr/>
        <w:t>a.</w:t>
        <w:tab/>
      </w:r>
      <w:r>
        <w:rPr>
          <w:u w:val="single"/>
        </w:rPr>
        <w:t>Enron responsibilities</w:t>
      </w:r>
      <w:r>
        <w:rPr/>
        <w:t>.  What responsibilities will Enron have for training customer technical and sales personnel and end users?</w:t>
      </w:r>
    </w:p>
    <w:p>
      <w:pPr>
        <w:pStyle w:val="Normal"/>
        <w:spacing w:before="0" w:after="240"/>
        <w:ind w:hanging="720" w:start="1440" w:end="0"/>
        <w:jc w:val="both"/>
        <w:rPr/>
      </w:pPr>
      <w:r>
        <w:rPr/>
        <w:t>b.</w:t>
        <w:tab/>
      </w:r>
      <w:r>
        <w:rPr>
          <w:u w:val="single"/>
        </w:rPr>
        <w:t>Customer responsibilities</w:t>
      </w:r>
      <w:r>
        <w:rPr/>
        <w:t>.  What responsibilities will the customer have for training customer and sales personnel and end users?</w:t>
      </w:r>
    </w:p>
    <w:p>
      <w:pPr>
        <w:pStyle w:val="Normal"/>
        <w:spacing w:before="0" w:after="240"/>
        <w:ind w:hanging="720" w:start="1440" w:end="0"/>
        <w:jc w:val="both"/>
        <w:rPr/>
      </w:pPr>
      <w:r>
        <w:rPr/>
        <w:t>c.</w:t>
        <w:tab/>
      </w:r>
      <w:r>
        <w:rPr>
          <w:u w:val="single"/>
        </w:rPr>
        <w:t>Training costs</w:t>
      </w:r>
      <w:r>
        <w:rPr/>
        <w:t>.  How will Enron charge for training?</w:t>
      </w:r>
    </w:p>
    <w:p>
      <w:pPr>
        <w:pStyle w:val="Normal"/>
        <w:ind w:hanging="720" w:start="2160" w:end="0"/>
        <w:jc w:val="both"/>
        <w:rPr/>
      </w:pPr>
      <w:r>
        <w:rPr/>
        <w:t>i.</w:t>
        <w:tab/>
        <w:t>Fixed fee (at least for initial limited number)?</w:t>
      </w:r>
    </w:p>
    <w:p>
      <w:pPr>
        <w:pStyle w:val="Normal"/>
        <w:spacing w:before="0" w:after="240"/>
        <w:ind w:hanging="720" w:start="2160" w:end="0"/>
        <w:jc w:val="both"/>
        <w:rPr/>
      </w:pPr>
      <w:r>
        <w:rPr/>
        <w:t>ii.</w:t>
        <w:tab/>
        <w:t>Hourly rates?</w:t>
      </w:r>
    </w:p>
    <w:p>
      <w:pPr>
        <w:pStyle w:val="Normal"/>
        <w:spacing w:before="0" w:after="240"/>
        <w:ind w:hanging="720" w:start="1440" w:end="0"/>
        <w:jc w:val="both"/>
        <w:rPr/>
      </w:pPr>
      <w:r>
        <w:rPr/>
        <w:t>c.</w:t>
        <w:tab/>
        <w:t>Where will training be conducted?</w:t>
      </w:r>
    </w:p>
    <w:p>
      <w:pPr>
        <w:pStyle w:val="Normal"/>
        <w:ind w:hanging="720" w:start="2160" w:end="0"/>
        <w:jc w:val="both"/>
        <w:rPr/>
      </w:pPr>
      <w:r>
        <w:rPr/>
        <w:t>i.</w:t>
        <w:tab/>
        <w:t>At Enron’s facilities?</w:t>
      </w:r>
    </w:p>
    <w:p>
      <w:pPr>
        <w:pStyle w:val="Normal"/>
        <w:ind w:hanging="720" w:start="2160" w:end="0"/>
        <w:jc w:val="both"/>
        <w:rPr/>
      </w:pPr>
      <w:r>
        <w:rPr/>
        <w:t>ii.</w:t>
        <w:tab/>
        <w:t>At the customer’s facilities?</w:t>
      </w:r>
    </w:p>
    <w:p>
      <w:pPr>
        <w:pStyle w:val="Normal"/>
        <w:ind w:hanging="720" w:start="2160" w:end="0"/>
        <w:jc w:val="both"/>
        <w:rPr/>
      </w:pPr>
      <w:r>
        <w:rPr/>
        <w:t>iii.</w:t>
        <w:tab/>
        <w:t>Via telephone or e-mail?</w:t>
      </w:r>
    </w:p>
    <w:p>
      <w:pPr>
        <w:pStyle w:val="Normal"/>
        <w:spacing w:before="0" w:after="240"/>
        <w:ind w:hanging="720" w:start="2160" w:end="0"/>
        <w:jc w:val="both"/>
        <w:rPr/>
      </w:pPr>
      <w:r>
        <w:rPr/>
        <w:t>iv.</w:t>
        <w:tab/>
        <w:t>Who is responsible for travel costs?</w:t>
      </w:r>
    </w:p>
    <w:p>
      <w:pPr>
        <w:pStyle w:val="Normal"/>
        <w:spacing w:before="0" w:after="240"/>
        <w:ind w:hanging="720" w:start="1440" w:end="0"/>
        <w:jc w:val="both"/>
        <w:rPr/>
      </w:pPr>
      <w:r>
        <w:rPr/>
        <w:t>d.</w:t>
        <w:tab/>
      </w:r>
      <w:r>
        <w:rPr>
          <w:u w:val="single"/>
        </w:rPr>
        <w:t>Trainee selection</w:t>
      </w:r>
      <w:r>
        <w:rPr/>
        <w:t>.  How will trainees be selected?</w:t>
      </w:r>
    </w:p>
    <w:p>
      <w:pPr>
        <w:pStyle w:val="Normal"/>
        <w:spacing w:before="0" w:after="240"/>
        <w:ind w:hanging="720" w:start="2160" w:end="0"/>
        <w:jc w:val="both"/>
        <w:rPr/>
      </w:pPr>
      <w:r>
        <w:rPr/>
        <w:t>i.</w:t>
        <w:tab/>
        <w:t>Will Enron have the right to approve/deny unqualified personnel?</w:t>
      </w:r>
    </w:p>
    <w:p>
      <w:pPr>
        <w:pStyle w:val="Normal"/>
        <w:spacing w:before="0" w:after="240"/>
        <w:jc w:val="both"/>
        <w:rPr/>
      </w:pPr>
      <w:r>
        <w:rPr/>
        <w:t>18.</w:t>
        <w:tab/>
        <w:t>OTHER BUSINESS CONSIDERATIONS</w:t>
      </w:r>
    </w:p>
    <w:p>
      <w:pPr>
        <w:pStyle w:val="Normal"/>
        <w:spacing w:before="0" w:after="240"/>
        <w:ind w:hanging="720" w:start="1440" w:end="0"/>
        <w:jc w:val="both"/>
        <w:rPr/>
      </w:pPr>
      <w:r>
        <w:rPr/>
        <w:t>a.</w:t>
        <w:tab/>
      </w:r>
      <w:r>
        <w:rPr>
          <w:u w:val="single"/>
        </w:rPr>
        <w:t>Exit strategy considerations</w:t>
      </w:r>
      <w:r>
        <w:rPr/>
        <w:t>.  Need to ensure that the agreements and Enron entities are structured to best facilitate the contemplated exit strategy for the Software Product business.</w:t>
      </w:r>
    </w:p>
    <w:p>
      <w:pPr>
        <w:pStyle w:val="Normal"/>
        <w:ind w:hanging="720" w:start="2160" w:end="0"/>
        <w:jc w:val="both"/>
        <w:rPr/>
      </w:pPr>
      <w:r>
        <w:rPr/>
        <w:t>i.</w:t>
        <w:tab/>
        <w:t>Tax considerations.</w:t>
      </w:r>
    </w:p>
    <w:p>
      <w:pPr>
        <w:pStyle w:val="Normal"/>
        <w:ind w:hanging="720" w:start="2160" w:end="0"/>
        <w:jc w:val="both"/>
        <w:rPr/>
      </w:pPr>
      <w:r>
        <w:rPr/>
        <w:t>ii.</w:t>
        <w:tab/>
        <w:t>Liability considerations.</w:t>
      </w:r>
    </w:p>
    <w:p>
      <w:pPr>
        <w:pStyle w:val="Normal"/>
        <w:spacing w:before="0" w:after="240"/>
        <w:ind w:hanging="720" w:start="2160" w:end="0"/>
        <w:jc w:val="both"/>
        <w:rPr/>
      </w:pPr>
      <w:r>
        <w:rPr/>
        <w:t>iii.</w:t>
        <w:tab/>
        <w:t>Securities considerations.</w:t>
      </w:r>
    </w:p>
    <w:p>
      <w:pPr>
        <w:pStyle w:val="Normal"/>
        <w:spacing w:before="0" w:after="240"/>
        <w:ind w:hanging="720" w:start="1440" w:end="0"/>
        <w:jc w:val="both"/>
        <w:rPr/>
      </w:pPr>
      <w:r>
        <w:rPr/>
        <w:t>b.</w:t>
        <w:tab/>
      </w:r>
      <w:r>
        <w:rPr>
          <w:u w:val="single"/>
        </w:rPr>
        <w:t>Channel Partner Issues</w:t>
      </w:r>
      <w:r>
        <w:rPr/>
        <w:t>.  How will channel partner arrangements be structured?  Need to consider:</w:t>
      </w:r>
    </w:p>
    <w:p>
      <w:pPr>
        <w:pStyle w:val="Normal"/>
        <w:ind w:hanging="720" w:start="2160" w:end="0"/>
        <w:jc w:val="both"/>
        <w:rPr/>
      </w:pPr>
      <w:r>
        <w:rPr/>
        <w:t>i.</w:t>
        <w:tab/>
        <w:t>Revenue share.</w:t>
      </w:r>
    </w:p>
    <w:p>
      <w:pPr>
        <w:pStyle w:val="Normal"/>
        <w:ind w:hanging="720" w:start="2160" w:end="0"/>
        <w:jc w:val="both"/>
        <w:rPr/>
      </w:pPr>
      <w:r>
        <w:rPr/>
        <w:t>ii.</w:t>
        <w:tab/>
        <w:t>Channel-conflict considerations.</w:t>
      </w:r>
    </w:p>
    <w:p>
      <w:pPr>
        <w:pStyle w:val="Normal"/>
        <w:spacing w:before="0" w:after="240"/>
        <w:ind w:hanging="720" w:start="2160" w:end="0"/>
        <w:jc w:val="both"/>
        <w:rPr/>
      </w:pPr>
      <w:r>
        <w:rPr/>
        <w:t>iii.</w:t>
        <w:tab/>
        <w:t>Exit strategies.</w:t>
      </w:r>
    </w:p>
    <w:sectPr>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rPr>
        <w:smallCaps/>
        <w:sz w:val="12"/>
      </w:rPr>
    </w:pPr>
    <w:r>
      <w:rPr>
        <w:smallCaps/>
        <w:sz w:val="12"/>
      </w:rPr>
      <w:fldChar w:fldCharType="begin"/>
    </w:r>
    <w:r>
      <w:rPr>
        <w:smallCaps/>
        <w:sz w:val="12"/>
      </w:rPr>
      <w:instrText xml:space="preserve"> DOCPROPERTY "Doc No."</w:instrText>
    </w:r>
    <w:r>
      <w:rPr>
        <w:smallCaps/>
        <w:sz w:val="12"/>
      </w:rPr>
      <w:fldChar w:fldCharType="separate"/>
    </w:r>
    <w:r>
      <w:rPr>
        <w:smallCaps/>
        <w:sz w:val="12"/>
      </w:rPr>
      <w:t>NYOLIB1\KLJ\213507.01(4KQR01!.DOC)</w:t>
    </w:r>
    <w:r>
      <w:rPr>
        <w:smallCaps/>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bookmarkStart w:id="6" w:name="bph"/>
    <w:r>
      <w:rPr>
        <w:sz w:val="16"/>
      </w:rPr>
      <w:t xml:space="preserve">Brobeck, Phleger &amp; Harrison </w:t>
    </w:r>
    <w:bookmarkEnd w:id="6"/>
    <w:r>
      <w:rPr>
        <w:smallCaps/>
        <w:sz w:val="16"/>
      </w:rPr>
      <w:t>LLP</w:t>
    </w:r>
  </w:p>
  <w:p>
    <w:pPr>
      <w:pStyle w:val="FooterID"/>
      <w:ind w:start="0" w:end="0"/>
      <w:rPr/>
    </w:pPr>
    <w:r>
      <w:rPr/>
      <w:fldChar w:fldCharType="begin"/>
    </w:r>
    <w:r>
      <w:rPr/>
      <w:instrText xml:space="preserve"> DOCPROPERTY "Doc No."</w:instrText>
    </w:r>
    <w:r>
      <w:rPr/>
      <w:fldChar w:fldCharType="separate"/>
    </w:r>
    <w:r>
      <w:rPr/>
      <w:t>NYOLIB1\KLJ\213507.01(4KQR01!.DOC)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rPr>
        <w:color w:val="000000"/>
      </w:rPr>
    </w:lvl>
    <w:lvl w:ilvl="1">
      <w:start w:val="1"/>
      <w:pStyle w:val="Heading2"/>
      <w:numFmt w:val="upperLetter"/>
      <w:lvlText w:val="%2."/>
      <w:lvlJc w:val="start"/>
      <w:pPr>
        <w:tabs>
          <w:tab w:val="num" w:pos="1080"/>
        </w:tabs>
        <w:ind w:start="720" w:hanging="0"/>
      </w:pPr>
      <w:rPr>
        <w:color w:val="000000"/>
      </w:rPr>
    </w:lvl>
    <w:lvl w:ilvl="2">
      <w:start w:val="1"/>
      <w:pStyle w:val="Heading3"/>
      <w:numFmt w:val="decimal"/>
      <w:lvlText w:val="%3."/>
      <w:lvlJc w:val="start"/>
      <w:pPr>
        <w:tabs>
          <w:tab w:val="num" w:pos="1800"/>
        </w:tabs>
        <w:ind w:start="0" w:firstLine="1440"/>
      </w:pPr>
      <w:rPr>
        <w:color w:val="000000"/>
      </w:rPr>
    </w:lvl>
    <w:lvl w:ilvl="3">
      <w:start w:val="1"/>
      <w:pStyle w:val="Heading4"/>
      <w:numFmt w:val="lowerLetter"/>
      <w:lvlText w:val="%4."/>
      <w:lvlJc w:val="start"/>
      <w:pPr>
        <w:tabs>
          <w:tab w:val="num" w:pos="2880"/>
        </w:tabs>
        <w:ind w:start="2880" w:hanging="720"/>
      </w:pPr>
      <w:rPr>
        <w:color w:val="000000"/>
      </w:rPr>
    </w:lvl>
    <w:lvl w:ilvl="4">
      <w:start w:val="1"/>
      <w:pStyle w:val="Heading5"/>
      <w:numFmt w:val="lowerRoman"/>
      <w:lvlText w:val="(%5)"/>
      <w:lvlJc w:val="start"/>
      <w:pPr>
        <w:tabs>
          <w:tab w:val="num" w:pos="3528"/>
        </w:tabs>
        <w:ind w:start="3528" w:hanging="648"/>
      </w:pPr>
      <w:rPr>
        <w:color w:val="000000"/>
      </w:rPr>
    </w:lvl>
    <w:lvl w:ilvl="5">
      <w:start w:val="1"/>
      <w:pStyle w:val="Heading6"/>
      <w:numFmt w:val="lowerLetter"/>
      <w:lvlText w:val="(%6)"/>
      <w:lvlJc w:val="start"/>
      <w:pPr>
        <w:tabs>
          <w:tab w:val="num" w:pos="4320"/>
        </w:tabs>
        <w:ind w:start="4320" w:hanging="720"/>
      </w:pPr>
      <w:rPr>
        <w:color w:val="000000"/>
      </w:rPr>
    </w:lvl>
    <w:lvl w:ilvl="6">
      <w:start w:val="1"/>
      <w:pStyle w:val="Heading7"/>
      <w:numFmt w:val="decimal"/>
      <w:lvlText w:val="(%7)"/>
      <w:lvlJc w:val="start"/>
      <w:pPr>
        <w:tabs>
          <w:tab w:val="num" w:pos="5040"/>
        </w:tabs>
        <w:ind w:start="5040" w:hanging="720"/>
      </w:pPr>
      <w:rPr>
        <w:color w:val="000000"/>
      </w:rPr>
    </w:lvl>
    <w:lvl w:ilvl="7">
      <w:start w:val="1"/>
      <w:pStyle w:val="Heading8"/>
      <w:numFmt w:val="lowerLetter"/>
      <w:lvlText w:val="%8)"/>
      <w:lvlJc w:val="start"/>
      <w:pPr>
        <w:tabs>
          <w:tab w:val="num" w:pos="5760"/>
        </w:tabs>
        <w:ind w:start="5760" w:hanging="720"/>
      </w:pPr>
      <w:rPr>
        <w:color w:val="000000"/>
      </w:rPr>
    </w:lvl>
    <w:lvl w:ilvl="8">
      <w:start w:val="1"/>
      <w:pStyle w:val="Heading9"/>
      <w:numFmt w:val="lowerRoman"/>
      <w:lvlText w:val="%9)"/>
      <w:lvlJc w:val="start"/>
      <w:pPr>
        <w:tabs>
          <w:tab w:val="num" w:pos="6480"/>
        </w:tabs>
        <w:ind w:start="6480" w:hanging="720"/>
      </w:pPr>
      <w:rPr>
        <w:color w:val="000000"/>
      </w:rPr>
    </w:lvl>
  </w:abstractNum>
  <w:abstractNum w:abstractNumId="2">
    <w:lvl w:ilvl="0">
      <w:start w:val="1"/>
      <w:numFmt w:val="lowerRoman"/>
      <w:lvlText w:val="(%1)"/>
      <w:lvlJc w:val="end"/>
      <w:pPr>
        <w:tabs>
          <w:tab w:val="num" w:pos="1800"/>
        </w:tabs>
        <w:ind w:start="180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2"/>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keepLines/>
      <w:numPr>
        <w:ilvl w:val="0"/>
        <w:numId w:val="1"/>
      </w:numPr>
      <w:tabs>
        <w:tab w:val="clear" w:pos="720"/>
      </w:tabs>
      <w:spacing w:before="0" w:after="240"/>
      <w:ind w:hanging="720" w:start="720" w:end="720"/>
      <w:outlineLvl w:val="0"/>
    </w:pPr>
    <w:rPr>
      <w:b/>
      <w:caps/>
      <w:color w:val="000000"/>
    </w:rPr>
  </w:style>
  <w:style w:type="paragraph" w:styleId="Heading2">
    <w:name w:val="heading 2"/>
    <w:basedOn w:val="Normal"/>
    <w:next w:val="Normal"/>
    <w:qFormat/>
    <w:pPr>
      <w:keepNext w:val="true"/>
      <w:keepLines/>
      <w:numPr>
        <w:ilvl w:val="1"/>
        <w:numId w:val="1"/>
      </w:numPr>
      <w:tabs>
        <w:tab w:val="clear" w:pos="720"/>
      </w:tabs>
      <w:spacing w:before="0" w:after="240"/>
      <w:ind w:hanging="720" w:start="1440" w:end="720"/>
      <w:outlineLvl w:val="1"/>
    </w:pPr>
    <w:rPr>
      <w:color w:val="000000"/>
    </w:rPr>
  </w:style>
  <w:style w:type="paragraph" w:styleId="Heading3">
    <w:name w:val="heading 3"/>
    <w:basedOn w:val="Heading2"/>
    <w:next w:val="Normal"/>
    <w:qFormat/>
    <w:pPr>
      <w:numPr>
        <w:ilvl w:val="2"/>
        <w:numId w:val="1"/>
      </w:numPr>
      <w:ind w:hanging="720" w:start="2160" w:end="720"/>
      <w:outlineLvl w:val="2"/>
    </w:pPr>
    <w:rPr/>
  </w:style>
  <w:style w:type="paragraph" w:styleId="Heading4">
    <w:name w:val="heading 4"/>
    <w:basedOn w:val="Normal"/>
    <w:next w:val="Normal"/>
    <w:qFormat/>
    <w:pPr>
      <w:keepNext w:val="true"/>
      <w:numPr>
        <w:ilvl w:val="3"/>
        <w:numId w:val="1"/>
      </w:numPr>
      <w:tabs>
        <w:tab w:val="clear" w:pos="720"/>
      </w:tabs>
      <w:spacing w:before="0" w:after="240"/>
      <w:ind w:hanging="0" w:start="0" w:end="720"/>
      <w:outlineLvl w:val="3"/>
    </w:pPr>
    <w:rPr/>
  </w:style>
  <w:style w:type="paragraph" w:styleId="Heading5">
    <w:name w:val="heading 5"/>
    <w:basedOn w:val="Normal"/>
    <w:next w:val="Normal"/>
    <w:qFormat/>
    <w:pPr>
      <w:numPr>
        <w:ilvl w:val="4"/>
        <w:numId w:val="1"/>
      </w:numPr>
      <w:tabs>
        <w:tab w:val="clear" w:pos="720"/>
      </w:tabs>
      <w:spacing w:before="0" w:after="240"/>
      <w:ind w:hanging="720" w:start="3600" w:end="720"/>
      <w:outlineLvl w:val="4"/>
    </w:pPr>
    <w:rPr/>
  </w:style>
  <w:style w:type="paragraph" w:styleId="Heading6">
    <w:name w:val="heading 6"/>
    <w:basedOn w:val="Normal"/>
    <w:next w:val="Normal"/>
    <w:qFormat/>
    <w:pPr>
      <w:numPr>
        <w:ilvl w:val="5"/>
        <w:numId w:val="1"/>
      </w:numPr>
      <w:spacing w:before="0" w:after="240"/>
      <w:ind w:hanging="0" w:start="0" w:end="720"/>
      <w:outlineLvl w:val="5"/>
    </w:pPr>
    <w:rPr/>
  </w:style>
  <w:style w:type="paragraph" w:styleId="Heading7">
    <w:name w:val="heading 7"/>
    <w:basedOn w:val="Normal"/>
    <w:next w:val="Normal"/>
    <w:qFormat/>
    <w:pPr>
      <w:numPr>
        <w:ilvl w:val="6"/>
        <w:numId w:val="1"/>
      </w:numPr>
      <w:spacing w:before="0" w:after="240"/>
      <w:ind w:hanging="0" w:start="0" w:end="720"/>
      <w:outlineLvl w:val="6"/>
    </w:pPr>
    <w:rPr>
      <w:color w:val="000000"/>
    </w:rPr>
  </w:style>
  <w:style w:type="paragraph" w:styleId="Heading8">
    <w:name w:val="heading 8"/>
    <w:basedOn w:val="Normal"/>
    <w:next w:val="Normal"/>
    <w:qFormat/>
    <w:pPr>
      <w:numPr>
        <w:ilvl w:val="7"/>
        <w:numId w:val="1"/>
      </w:numPr>
      <w:spacing w:before="0" w:after="240"/>
      <w:ind w:hanging="0" w:start="0" w:end="720"/>
      <w:outlineLvl w:val="7"/>
    </w:pPr>
    <w:rPr>
      <w:color w:val="000000"/>
    </w:rPr>
  </w:style>
  <w:style w:type="paragraph" w:styleId="Heading9">
    <w:name w:val="heading 9"/>
    <w:basedOn w:val="Normal"/>
    <w:next w:val="Normal"/>
    <w:qFormat/>
    <w:pPr>
      <w:numPr>
        <w:ilvl w:val="8"/>
        <w:numId w:val="1"/>
      </w:numPr>
      <w:spacing w:before="0" w:after="240"/>
      <w:ind w:hanging="0" w:start="0" w:end="72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b w:val="false"/>
      <w:i w:val="false"/>
      <w:color w:val="000000"/>
      <w:sz w:val="24"/>
    </w:rPr>
  </w:style>
  <w:style w:type="character" w:styleId="WW8Num14z0">
    <w:name w:val="WW8Num14z0"/>
    <w:qFormat/>
    <w:rPr>
      <w:rFonts w:ascii="Symbol" w:hAnsi="Symbol" w:cs="Symbol"/>
    </w:rPr>
  </w:style>
  <w:style w:type="character" w:styleId="WW8Num15z0">
    <w:name w:val="WW8Num15z0"/>
    <w:qFormat/>
    <w:rPr>
      <w:color w:val="000000"/>
    </w:rPr>
  </w:style>
  <w:style w:type="character" w:styleId="WW8Num17z0">
    <w:name w:val="WW8Num17z0"/>
    <w:qFormat/>
    <w:rPr/>
  </w:style>
  <w:style w:type="character" w:styleId="WW8Num19z0">
    <w:name w:val="WW8Num19z0"/>
    <w:qFormat/>
    <w:rPr>
      <w:rFonts w:ascii="Times New Roman" w:hAnsi="Times New Roman" w:cs="Times New Roman"/>
      <w:b w:val="false"/>
      <w:i w:val="false"/>
      <w:color w:val="000000"/>
      <w:sz w:val="24"/>
    </w:rPr>
  </w:style>
  <w:style w:type="character" w:styleId="WW8Num20z0">
    <w:name w:val="WW8Num20z0"/>
    <w:qFormat/>
    <w:rPr/>
  </w:style>
  <w:style w:type="character" w:styleId="WW8Num21z0">
    <w:name w:val="WW8Num2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Subtitle"/>
    <w:qFormat/>
    <w:pPr>
      <w:keepNext w:val="true"/>
      <w:keepLines/>
      <w:widowControl w:val="false"/>
      <w:spacing w:before="0" w:after="240"/>
      <w:jc w:val="center"/>
      <w:outlineLvl w:val="0"/>
    </w:pPr>
    <w:rPr>
      <w:b/>
      <w:caps/>
      <w:kern w:val="2"/>
    </w:rPr>
  </w:style>
  <w:style w:type="paragraph" w:styleId="BodyText">
    <w:name w:val="Body Text"/>
    <w:basedOn w:val="Normal"/>
    <w:pPr>
      <w:spacing w:before="0" w:after="24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Closing">
    <w:name w:val="Closing"/>
    <w:basedOn w:val="Normal"/>
    <w:qFormat/>
    <w:pPr>
      <w:ind w:hanging="0" w:start="4680" w:end="0"/>
    </w:pPr>
    <w:rPr/>
  </w:style>
  <w:style w:type="paragraph" w:styleId="ClosingFirmName">
    <w:name w:val="Closing Firm Name"/>
    <w:basedOn w:val="Closing"/>
    <w:next w:val="Signature"/>
    <w:qFormat/>
    <w:pPr>
      <w:keepNext w:val="true"/>
      <w:keepLine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Times New Roman" w:hAnsi="Times New Roman" w:eastAsia="Times New Roman" w:cs="Times New Roman"/>
      <w:color w:val="auto"/>
      <w:sz w:val="20"/>
      <w:szCs w:val="20"/>
      <w:lang w:val="en-US" w:bidi="ar-SA" w:eastAsia="zh-CN"/>
    </w:rPr>
  </w:style>
  <w:style w:type="paragraph" w:styleId="Signature">
    <w:name w:val="Signature"/>
    <w:basedOn w:val="Normal"/>
    <w:next w:val="ByLine"/>
    <w:pPr>
      <w:keepNext w:val="true"/>
      <w:keepLines/>
      <w:ind w:hanging="0" w:start="4680" w:end="0"/>
    </w:pPr>
    <w:rPr/>
  </w:style>
  <w:style w:type="paragraph" w:styleId="SignatureName">
    <w:name w:val="Signature Name"/>
    <w:basedOn w:val="Signature"/>
    <w:next w:val="ItsLine"/>
    <w:qFormat/>
    <w:pPr>
      <w:tabs>
        <w:tab w:val="clear" w:pos="720"/>
        <w:tab w:val="left" w:pos="5040" w:leader="none"/>
        <w:tab w:val="left" w:pos="9360" w:leader="none"/>
      </w:tabs>
      <w:spacing w:before="0" w:after="240"/>
      <w:ind w:hanging="0" w:start="5040" w:end="0"/>
    </w:pPr>
    <w:rPr/>
  </w:style>
  <w:style w:type="paragraph" w:styleId="BlockText2">
    <w:name w:val="Block Text 2"/>
    <w:basedOn w:val="Normal"/>
    <w:qFormat/>
    <w:pPr>
      <w:spacing w:lineRule="auto" w:line="480"/>
      <w:ind w:hanging="0" w:start="1440" w:end="1440"/>
    </w:pPr>
    <w:rPr/>
  </w:style>
  <w:style w:type="paragraph" w:styleId="CenteredHeading">
    <w:name w:val="Centered Heading"/>
    <w:basedOn w:val="Normal"/>
    <w:next w:val="BodyText"/>
    <w:qFormat/>
    <w:pPr>
      <w:keepNext w:val="true"/>
      <w:keepLines/>
      <w:spacing w:before="0" w:after="240"/>
      <w:jc w:val="center"/>
      <w:outlineLvl w:val="0"/>
    </w:pPr>
    <w:rPr>
      <w:b/>
    </w:rPr>
  </w:style>
  <w:style w:type="paragraph" w:styleId="ClosingFirmName1">
    <w:name w:val="ClosingFirmName"/>
    <w:basedOn w:val="Signature"/>
    <w:qFormat/>
    <w:pPr>
      <w:spacing w:before="0" w:after="960"/>
    </w:pPr>
    <w:rPr/>
  </w:style>
  <w:style w:type="paragraph" w:styleId="BodyTextFirstIndent">
    <w:name w:val="Body Text First Indent"/>
    <w:basedOn w:val="BodyText"/>
    <w:qFormat/>
    <w:pPr>
      <w:ind w:firstLine="720" w:start="0" w:end="0"/>
    </w:pPr>
    <w:rPr/>
  </w:style>
  <w:style w:type="paragraph" w:styleId="EnvelopeReturn">
    <w:name w:val="envelope return"/>
    <w:basedOn w:val="Normal"/>
    <w:pPr/>
    <w:rPr/>
  </w:style>
  <w:style w:type="paragraph" w:styleId="FootnoteText">
    <w:name w:val="footnote text"/>
    <w:basedOn w:val="Normal"/>
    <w:pPr>
      <w:tabs>
        <w:tab w:val="clear" w:pos="720"/>
        <w:tab w:val="left" w:pos="1080" w:leader="none"/>
      </w:tabs>
      <w:ind w:firstLine="720" w:start="0" w:end="0"/>
    </w:pPr>
    <w:rPr/>
  </w:style>
  <w:style w:type="paragraph" w:styleId="ListNumber4">
    <w:name w:val="List Number 4"/>
    <w:basedOn w:val="Normal"/>
    <w:qFormat/>
    <w:pPr>
      <w:tabs>
        <w:tab w:val="clear" w:pos="720"/>
        <w:tab w:val="left" w:pos="2160" w:leader="none"/>
      </w:tabs>
      <w:spacing w:before="0" w:after="240"/>
      <w:ind w:hanging="720" w:start="2160" w:end="0"/>
    </w:pPr>
    <w:rPr/>
  </w:style>
  <w:style w:type="paragraph" w:styleId="LeftHeading">
    <w:name w:val="Left Heading"/>
    <w:basedOn w:val="Normal"/>
    <w:next w:val="BodyText"/>
    <w:qFormat/>
    <w:pPr>
      <w:spacing w:before="0" w:after="240"/>
      <w:outlineLvl w:val="0"/>
    </w:pPr>
    <w:rPr>
      <w:u w:val="single"/>
    </w:rPr>
  </w:style>
  <w:style w:type="paragraph" w:styleId="BlockText">
    <w:name w:val="Block Text"/>
    <w:basedOn w:val="Normal"/>
    <w:qFormat/>
    <w:pPr>
      <w:spacing w:before="0" w:after="240"/>
      <w:ind w:hanging="0" w:start="1440" w:end="1440"/>
    </w:pPr>
    <w:rPr/>
  </w:style>
  <w:style w:type="paragraph" w:styleId="NormalIndent">
    <w:name w:val="Normal Indent"/>
    <w:basedOn w:val="Normal"/>
    <w:qFormat/>
    <w:pPr>
      <w:ind w:hanging="0" w:start="720" w:end="0"/>
    </w:pPr>
    <w:rPr/>
  </w:style>
  <w:style w:type="paragraph" w:styleId="TOAHeading">
    <w:name w:val="TOA Heading"/>
    <w:basedOn w:val="Normal"/>
    <w:next w:val="Normal"/>
    <w:qFormat/>
    <w:pPr>
      <w:spacing w:before="120" w:after="0"/>
    </w:pPr>
    <w:rPr>
      <w:b/>
      <w:caps/>
    </w:rPr>
  </w:style>
  <w:style w:type="paragraph" w:styleId="Subject">
    <w:name w:val="Subject"/>
    <w:basedOn w:val="Normal"/>
    <w:next w:val="Salutation"/>
    <w:qFormat/>
    <w:pPr>
      <w:spacing w:before="240" w:after="240"/>
      <w:ind w:hanging="720" w:start="2160" w:end="0"/>
    </w:pPr>
    <w:rPr/>
  </w:style>
  <w:style w:type="paragraph" w:styleId="Salutation">
    <w:name w:val="Salutation"/>
    <w:basedOn w:val="Normal"/>
    <w:next w:val="BodyText"/>
    <w:qFormat/>
    <w:pPr>
      <w:spacing w:before="0" w:after="240"/>
    </w:pPr>
    <w:rPr/>
  </w:style>
  <w:style w:type="paragraph" w:styleId="BodyText2">
    <w:name w:val="Body Text 2"/>
    <w:basedOn w:val="BodyText"/>
    <w:qFormat/>
    <w:pPr>
      <w:spacing w:lineRule="auto" w:line="360"/>
    </w:pPr>
    <w:rPr/>
  </w:style>
  <w:style w:type="paragraph" w:styleId="TOC1">
    <w:name w:val="toc 1"/>
    <w:basedOn w:val="Normal"/>
    <w:next w:val="Normal"/>
    <w:pPr>
      <w:spacing w:before="0" w:after="240"/>
      <w:ind w:hanging="0" w:start="0" w:end="720"/>
    </w:pPr>
    <w:rPr/>
  </w:style>
  <w:style w:type="paragraph" w:styleId="TOC2">
    <w:name w:val="toc 2"/>
    <w:basedOn w:val="Normal"/>
    <w:next w:val="Normal"/>
    <w:pPr>
      <w:tabs>
        <w:tab w:val="left" w:pos="720" w:leader="none"/>
        <w:tab w:val="left" w:pos="1440" w:leader="none"/>
        <w:tab w:val="right" w:pos="9350" w:leader="dot"/>
      </w:tabs>
      <w:spacing w:before="0" w:after="240"/>
      <w:ind w:hanging="0" w:start="720" w:end="720"/>
    </w:pPr>
    <w:rPr>
      <w:lang w:val="en-CA" w:eastAsia="en-CA"/>
    </w:rPr>
  </w:style>
  <w:style w:type="paragraph" w:styleId="TOC3">
    <w:name w:val="toc 3"/>
    <w:basedOn w:val="Normal"/>
    <w:next w:val="Normal"/>
    <w:pPr>
      <w:tabs>
        <w:tab w:val="clear" w:pos="720"/>
        <w:tab w:val="left" w:pos="2160" w:leader="none"/>
        <w:tab w:val="right" w:pos="9350" w:leader="dot"/>
      </w:tabs>
      <w:spacing w:before="0" w:after="240"/>
      <w:ind w:hanging="0" w:start="1440" w:end="720"/>
    </w:pPr>
    <w:rPr>
      <w:lang w:val="en-CA" w:eastAsia="en-CA"/>
    </w:rPr>
  </w:style>
  <w:style w:type="paragraph" w:styleId="TOC4">
    <w:name w:val="toc 4"/>
    <w:basedOn w:val="Normal"/>
    <w:next w:val="Normal"/>
    <w:pPr>
      <w:tabs>
        <w:tab w:val="clear" w:pos="720"/>
        <w:tab w:val="left" w:pos="2880" w:leader="none"/>
        <w:tab w:val="right" w:pos="9350" w:leader="dot"/>
      </w:tabs>
      <w:spacing w:before="0" w:after="240"/>
      <w:ind w:hanging="0" w:start="2160" w:end="720"/>
    </w:pPr>
    <w:rPr>
      <w:color w:val="000000"/>
      <w:lang w:val="en-CA" w:eastAsia="en-CA"/>
    </w:rPr>
  </w:style>
  <w:style w:type="paragraph" w:styleId="TOC5">
    <w:name w:val="toc 5"/>
    <w:basedOn w:val="Normal"/>
    <w:next w:val="Normal"/>
    <w:pPr>
      <w:tabs>
        <w:tab w:val="clear" w:pos="720"/>
        <w:tab w:val="left" w:pos="3600" w:leader="none"/>
        <w:tab w:val="right" w:pos="9350" w:leader="dot"/>
      </w:tabs>
      <w:spacing w:before="0" w:after="240"/>
      <w:ind w:hanging="0" w:start="2880" w:end="720"/>
    </w:pPr>
    <w:rPr>
      <w:color w:val="000000"/>
      <w:lang w:val="en-CA" w:eastAsia="en-CA"/>
    </w:rPr>
  </w:style>
  <w:style w:type="paragraph" w:styleId="TOC6">
    <w:name w:val="toc 6"/>
    <w:basedOn w:val="Normal"/>
    <w:next w:val="Normal"/>
    <w:pPr>
      <w:tabs>
        <w:tab w:val="clear" w:pos="720"/>
        <w:tab w:val="left" w:pos="4320" w:leader="none"/>
        <w:tab w:val="right" w:pos="9350" w:leader="dot"/>
      </w:tabs>
      <w:spacing w:before="0" w:after="240"/>
      <w:ind w:hanging="0" w:start="3600" w:end="720"/>
    </w:pPr>
    <w:rPr>
      <w:color w:val="000000"/>
      <w:lang w:val="en-CA" w:eastAsia="en-CA"/>
    </w:rPr>
  </w:style>
  <w:style w:type="paragraph" w:styleId="TOC7">
    <w:name w:val="toc 7"/>
    <w:basedOn w:val="Normal"/>
    <w:next w:val="Normal"/>
    <w:pPr>
      <w:tabs>
        <w:tab w:val="clear" w:pos="720"/>
        <w:tab w:val="left" w:pos="5040" w:leader="none"/>
        <w:tab w:val="right" w:pos="9350" w:leader="dot"/>
      </w:tabs>
      <w:ind w:hanging="0" w:start="4320" w:end="720"/>
    </w:pPr>
    <w:rPr>
      <w:lang w:val="en-CA" w:eastAsia="en-CA"/>
    </w:rPr>
  </w:style>
  <w:style w:type="paragraph" w:styleId="TOC8">
    <w:name w:val="toc 8"/>
    <w:basedOn w:val="Normal"/>
    <w:next w:val="Normal"/>
    <w:pPr>
      <w:ind w:hanging="0" w:start="5040" w:end="720"/>
    </w:pPr>
    <w:rPr/>
  </w:style>
  <w:style w:type="paragraph" w:styleId="FooterID">
    <w:name w:val="Footer ID"/>
    <w:basedOn w:val="Footer"/>
    <w:qFormat/>
    <w:pPr>
      <w:ind w:hanging="0" w:start="-720" w:end="0"/>
    </w:pPr>
    <w:rPr>
      <w:smallCaps/>
      <w:sz w:val="12"/>
    </w:rPr>
  </w:style>
  <w:style w:type="paragraph" w:styleId="Discovery">
    <w:name w:val="Discovery"/>
    <w:basedOn w:val="Normal"/>
    <w:next w:val="BodyText"/>
    <w:qFormat/>
    <w:pPr>
      <w:spacing w:lineRule="exact" w:line="480"/>
    </w:pPr>
    <w:rPr>
      <w:b/>
      <w:caps/>
    </w:rPr>
  </w:style>
  <w:style w:type="paragraph" w:styleId="TOC9">
    <w:name w:val="toc 9"/>
    <w:basedOn w:val="Normal"/>
    <w:next w:val="Normal"/>
    <w:pPr>
      <w:ind w:hanging="0" w:start="1920" w:end="0"/>
    </w:pPr>
    <w:rPr/>
  </w:style>
  <w:style w:type="paragraph" w:styleId="WPComment">
    <w:name w:val="WPComment"/>
    <w:basedOn w:val="Normal"/>
    <w:qFormat/>
    <w:pPr>
      <w:spacing w:before="120" w:after="120"/>
    </w:pPr>
    <w:rPr>
      <w:vanish/>
      <w:color w:val="FF0000"/>
    </w:rPr>
  </w:style>
  <w:style w:type="paragraph" w:styleId="Address">
    <w:name w:val="Address"/>
    <w:basedOn w:val="Normal"/>
    <w:next w:val="Subject"/>
    <w:qFormat/>
    <w:pPr>
      <w:spacing w:before="0" w:after="240"/>
    </w:pPr>
    <w:rPr/>
  </w:style>
  <w:style w:type="paragraph" w:styleId="bcc">
    <w:name w:val="bcc"/>
    <w:basedOn w:val="Normal"/>
    <w:qFormat/>
    <w:pPr>
      <w:pageBreakBefore/>
    </w:pPr>
    <w:rPr/>
  </w:style>
  <w:style w:type="paragraph" w:styleId="Date">
    <w:name w:val="Date"/>
    <w:basedOn w:val="Normal"/>
    <w:next w:val="Normal"/>
    <w:qFormat/>
    <w:pPr>
      <w:spacing w:before="0" w:after="480"/>
      <w:jc w:val="center"/>
    </w:pPr>
    <w:rPr/>
  </w:style>
  <w:style w:type="paragraph" w:styleId="BodyTextIndent2">
    <w:name w:val="Body Text Indent 2"/>
    <w:basedOn w:val="Normal"/>
    <w:qFormat/>
    <w:pPr>
      <w:spacing w:before="0" w:after="240"/>
      <w:ind w:hanging="0" w:start="1440" w:end="0"/>
    </w:pPr>
    <w:rPr/>
  </w:style>
  <w:style w:type="paragraph" w:styleId="BodyTextIndent">
    <w:name w:val="Body Text Indent"/>
    <w:basedOn w:val="BodyText"/>
    <w:pPr>
      <w:ind w:hanging="0" w:start="720" w:end="0"/>
    </w:pPr>
    <w:rPr/>
  </w:style>
  <w:style w:type="paragraph" w:styleId="BodyTextFirstIndent2">
    <w:name w:val="Body Text First Indent 2"/>
    <w:basedOn w:val="BodyTextIndent"/>
    <w:qFormat/>
    <w:pPr>
      <w:ind w:firstLine="1440" w:start="0" w:end="0"/>
    </w:pPr>
    <w:rPr/>
  </w:style>
  <w:style w:type="paragraph" w:styleId="BodyTextIndent3">
    <w:name w:val="Body Text Indent 3"/>
    <w:basedOn w:val="Normal"/>
    <w:qFormat/>
    <w:pPr>
      <w:spacing w:before="0" w:after="240"/>
      <w:ind w:hanging="0" w:start="2160" w:end="0"/>
    </w:pPr>
    <w:rPr>
      <w:sz w:val="16"/>
    </w:rPr>
  </w:style>
  <w:style w:type="paragraph" w:styleId="ListNumber">
    <w:name w:val="List Number"/>
    <w:basedOn w:val="Normal"/>
    <w:qFormat/>
    <w:pPr>
      <w:numPr>
        <w:ilvl w:val="0"/>
        <w:numId w:val="9"/>
      </w:numPr>
      <w:tabs>
        <w:tab w:val="clear" w:pos="720"/>
        <w:tab w:val="left" w:pos="2160" w:leader="none"/>
      </w:tabs>
      <w:spacing w:before="0" w:after="240"/>
      <w:ind w:firstLine="1440" w:start="0" w:end="0"/>
    </w:pPr>
    <w:rPr/>
  </w:style>
  <w:style w:type="paragraph" w:styleId="ListNumber2">
    <w:name w:val="List Number 2"/>
    <w:basedOn w:val="Normal"/>
    <w:qFormat/>
    <w:pPr>
      <w:numPr>
        <w:ilvl w:val="0"/>
        <w:numId w:val="4"/>
      </w:numPr>
      <w:tabs>
        <w:tab w:val="clear" w:pos="720"/>
        <w:tab w:val="left" w:pos="2160" w:leader="none"/>
      </w:tabs>
      <w:spacing w:before="0" w:after="240"/>
      <w:ind w:hanging="720" w:start="2160" w:end="0"/>
    </w:pPr>
    <w:rPr/>
  </w:style>
  <w:style w:type="paragraph" w:styleId="ListNumber3">
    <w:name w:val="List Number 3"/>
    <w:basedOn w:val="Normal"/>
    <w:qFormat/>
    <w:pPr>
      <w:numPr>
        <w:ilvl w:val="0"/>
        <w:numId w:val="3"/>
      </w:numPr>
      <w:tabs>
        <w:tab w:val="clear" w:pos="720"/>
        <w:tab w:val="left" w:pos="2160" w:leader="none"/>
      </w:tabs>
      <w:spacing w:before="0" w:after="240"/>
      <w:ind w:firstLine="1440" w:start="0" w:end="0"/>
    </w:pPr>
    <w:rPr/>
  </w:style>
  <w:style w:type="paragraph" w:styleId="ListNumber5">
    <w:name w:val="List Number 5"/>
    <w:basedOn w:val="Normal"/>
    <w:qFormat/>
    <w:pPr>
      <w:numPr>
        <w:ilvl w:val="0"/>
        <w:numId w:val="2"/>
      </w:numPr>
      <w:tabs>
        <w:tab w:val="clear" w:pos="720"/>
        <w:tab w:val="left" w:pos="2880" w:leader="none"/>
      </w:tabs>
      <w:spacing w:before="0" w:after="240"/>
      <w:ind w:hanging="446" w:start="2880" w:end="0"/>
    </w:pPr>
    <w:rPr/>
  </w:style>
  <w:style w:type="paragraph" w:styleId="Subtitle">
    <w:name w:val="Subtitle"/>
    <w:basedOn w:val="Normal"/>
    <w:next w:val="BodyText"/>
    <w:qFormat/>
    <w:pPr>
      <w:keepNext w:val="true"/>
      <w:keepLines/>
      <w:widowControl w:val="false"/>
      <w:spacing w:before="0" w:after="240"/>
      <w:jc w:val="center"/>
      <w:outlineLvl w:val="1"/>
    </w:pPr>
    <w:rPr>
      <w:b/>
    </w:rPr>
  </w:style>
  <w:style w:type="paragraph" w:styleId="ListBullet">
    <w:name w:val="List Bullet"/>
    <w:basedOn w:val="Normal"/>
    <w:qFormat/>
    <w:pPr>
      <w:numPr>
        <w:ilvl w:val="0"/>
        <w:numId w:val="10"/>
      </w:numPr>
      <w:spacing w:before="0" w:after="240"/>
    </w:pPr>
    <w:rPr/>
  </w:style>
  <w:style w:type="paragraph" w:styleId="ListBullet2">
    <w:name w:val="List Bullet 2"/>
    <w:basedOn w:val="Normal"/>
    <w:qFormat/>
    <w:pPr>
      <w:numPr>
        <w:ilvl w:val="0"/>
        <w:numId w:val="8"/>
      </w:numPr>
      <w:spacing w:before="0" w:after="240"/>
      <w:ind w:hanging="0" w:start="1080" w:end="0"/>
    </w:pPr>
    <w:rPr/>
  </w:style>
  <w:style w:type="paragraph" w:styleId="ListBullet3">
    <w:name w:val="List Bullet 3"/>
    <w:basedOn w:val="Normal"/>
    <w:qFormat/>
    <w:pPr>
      <w:numPr>
        <w:ilvl w:val="0"/>
        <w:numId w:val="7"/>
      </w:numPr>
      <w:spacing w:before="0" w:after="240"/>
    </w:pPr>
    <w:rPr/>
  </w:style>
  <w:style w:type="paragraph" w:styleId="ListBullet4">
    <w:name w:val="List Bullet 4"/>
    <w:basedOn w:val="Normal"/>
    <w:qFormat/>
    <w:pPr>
      <w:numPr>
        <w:ilvl w:val="0"/>
        <w:numId w:val="6"/>
      </w:numPr>
      <w:spacing w:before="0" w:after="240"/>
    </w:pPr>
    <w:rPr/>
  </w:style>
  <w:style w:type="paragraph" w:styleId="ListBullet5">
    <w:name w:val="List Bullet 5"/>
    <w:basedOn w:val="Normal"/>
    <w:qFormat/>
    <w:pPr>
      <w:numPr>
        <w:ilvl w:val="0"/>
        <w:numId w:val="5"/>
      </w:numPr>
      <w:spacing w:before="0" w:after="240"/>
    </w:pPr>
    <w:rPr/>
  </w:style>
  <w:style w:type="paragraph" w:styleId="ListContinue">
    <w:name w:val="List Continue"/>
    <w:basedOn w:val="Normal"/>
    <w:qFormat/>
    <w:pPr>
      <w:spacing w:before="0" w:after="240"/>
      <w:ind w:hanging="0" w:start="36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080" w:end="0"/>
    </w:pPr>
    <w:rPr/>
  </w:style>
  <w:style w:type="paragraph" w:styleId="ListContinue4">
    <w:name w:val="List Continue 4"/>
    <w:basedOn w:val="Normal"/>
    <w:qFormat/>
    <w:pPr>
      <w:spacing w:before="0" w:after="240"/>
      <w:ind w:hanging="0" w:start="1440" w:end="0"/>
    </w:pPr>
    <w:rPr/>
  </w:style>
  <w:style w:type="paragraph" w:styleId="ListContinue5">
    <w:name w:val="List Continue 5"/>
    <w:basedOn w:val="Normal"/>
    <w:qFormat/>
    <w:pPr>
      <w:spacing w:before="0" w:after="240"/>
      <w:ind w:hanging="0" w:start="1800" w:end="0"/>
    </w:pPr>
    <w:rPr/>
  </w:style>
  <w:style w:type="paragraph" w:styleId="ListNumberContinued">
    <w:name w:val="List Number Continued"/>
    <w:basedOn w:val="Normal"/>
    <w:qFormat/>
    <w:pPr>
      <w:spacing w:before="0" w:after="240"/>
      <w:ind w:hanging="0" w:start="2160" w:end="0"/>
    </w:pPr>
    <w:rPr/>
  </w:style>
  <w:style w:type="paragraph" w:styleId="ListRomanContinued">
    <w:name w:val="List Roman Continued"/>
    <w:basedOn w:val="ListContinue5"/>
    <w:qFormat/>
    <w:pPr>
      <w:ind w:hanging="0" w:start="2880" w:end="0"/>
    </w:pPr>
    <w:rPr/>
  </w:style>
  <w:style w:type="paragraph" w:styleId="DocumentMap">
    <w:name w:val="Document Map"/>
    <w:basedOn w:val="Normal"/>
    <w:qFormat/>
    <w:pPr>
      <w:shd w:fill="000080" w:val="clear"/>
    </w:pPr>
    <w:rPr>
      <w:rFonts w:ascii="Tahoma" w:hAnsi="Tahoma" w:cs="Tahoma"/>
    </w:rPr>
  </w:style>
  <w:style w:type="paragraph" w:styleId="TableSignatureLine">
    <w:name w:val="Table Signature Line"/>
    <w:basedOn w:val="Normal"/>
    <w:qFormat/>
    <w:pPr>
      <w:tabs>
        <w:tab w:val="clear" w:pos="720"/>
        <w:tab w:val="right" w:pos="4680" w:leader="underscore"/>
      </w:tabs>
    </w:pPr>
    <w:rPr/>
  </w:style>
  <w:style w:type="paragraph" w:styleId="SignatureLine">
    <w:name w:val="Signature Line"/>
    <w:basedOn w:val="Signature"/>
    <w:qFormat/>
    <w:pPr>
      <w:tabs>
        <w:tab w:val="clear" w:pos="720"/>
        <w:tab w:val="right" w:pos="9360" w:leader="underscore"/>
      </w:tabs>
      <w:spacing w:before="720" w:after="0"/>
    </w:pPr>
    <w:rPr/>
  </w:style>
  <w:style w:type="paragraph" w:styleId="TableSignature">
    <w:name w:val="Table Signature"/>
    <w:basedOn w:val="Normal"/>
    <w:next w:val="TableByLine"/>
    <w:qFormat/>
    <w:pPr>
      <w:keepNext w:val="true"/>
      <w:keepLines/>
    </w:pPr>
    <w:rPr/>
  </w:style>
  <w:style w:type="paragraph" w:styleId="TableByLine">
    <w:name w:val="Table By Line"/>
    <w:basedOn w:val="TableSignature"/>
    <w:next w:val="TableSignatureName"/>
    <w:qFormat/>
    <w:pPr>
      <w:tabs>
        <w:tab w:val="clear" w:pos="720"/>
        <w:tab w:val="left" w:pos="360" w:leader="none"/>
        <w:tab w:val="right" w:pos="4435" w:leader="underscore"/>
      </w:tabs>
      <w:spacing w:before="720" w:after="0"/>
    </w:pPr>
    <w:rPr/>
  </w:style>
  <w:style w:type="paragraph" w:styleId="TableSignatureName">
    <w:name w:val="Table Signature Name"/>
    <w:basedOn w:val="TableSignature"/>
    <w:next w:val="TableItsLine"/>
    <w:qFormat/>
    <w:pPr>
      <w:ind w:hanging="0" w:start="360" w:end="0"/>
    </w:pPr>
    <w:rPr/>
  </w:style>
  <w:style w:type="paragraph" w:styleId="TableItsLine">
    <w:name w:val="Table Its Line"/>
    <w:basedOn w:val="TableSignature"/>
    <w:next w:val="TableCorporateSignatureTitle"/>
    <w:qFormat/>
    <w:pPr>
      <w:tabs>
        <w:tab w:val="clear" w:pos="720"/>
        <w:tab w:val="left" w:pos="648" w:leader="none"/>
        <w:tab w:val="right" w:pos="4435" w:leader="underscore"/>
      </w:tabs>
      <w:ind w:hanging="0" w:start="360" w:end="0"/>
    </w:pPr>
    <w:rPr/>
  </w:style>
  <w:style w:type="paragraph" w:styleId="TableCorporateSignatureTitle">
    <w:name w:val="Table Corporate Signature Title"/>
    <w:basedOn w:val="TableSignature"/>
    <w:next w:val="TableSignature"/>
    <w:qFormat/>
    <w:pPr>
      <w:ind w:hanging="0" w:start="648" w:end="0"/>
    </w:pPr>
    <w:rPr/>
  </w:style>
  <w:style w:type="paragraph" w:styleId="ByLine">
    <w:name w:val="By Line"/>
    <w:basedOn w:val="Signature"/>
    <w:next w:val="SignatureName"/>
    <w:qFormat/>
    <w:pPr>
      <w:tabs>
        <w:tab w:val="clear" w:pos="720"/>
        <w:tab w:val="left" w:pos="5040" w:leader="none"/>
        <w:tab w:val="right" w:pos="9360" w:leader="underscore"/>
      </w:tabs>
      <w:spacing w:before="720" w:after="0"/>
    </w:pPr>
    <w:rPr/>
  </w:style>
  <w:style w:type="paragraph" w:styleId="ItsLine">
    <w:name w:val="Its Line"/>
    <w:basedOn w:val="Signature"/>
    <w:next w:val="CorporateSignatureTitle"/>
    <w:qFormat/>
    <w:pPr>
      <w:tabs>
        <w:tab w:val="clear" w:pos="720"/>
        <w:tab w:val="left" w:pos="5328" w:leader="none"/>
        <w:tab w:val="right" w:pos="9360" w:leader="underscore"/>
      </w:tabs>
      <w:ind w:hanging="0" w:start="5040" w:end="0"/>
    </w:pPr>
    <w:rPr/>
  </w:style>
  <w:style w:type="paragraph" w:styleId="CorporateSignatureTitle">
    <w:name w:val="Corporate Signature Title"/>
    <w:basedOn w:val="Signature"/>
    <w:next w:val="Signature"/>
    <w:qFormat/>
    <w:pPr>
      <w:ind w:hanging="0" w:start="5328" w:end="0"/>
    </w:pPr>
    <w:rPr/>
  </w:style>
  <w:style w:type="paragraph" w:styleId="zzResponseText">
    <w:name w:val="zzResponse Text"/>
    <w:basedOn w:val="Normal"/>
    <w:qFormat/>
    <w:pPr>
      <w:spacing w:before="0" w:after="240"/>
    </w:pPr>
    <w:rPr/>
  </w:style>
  <w:style w:type="paragraph" w:styleId="zzFormTitle">
    <w:name w:val="zzForm Title"/>
    <w:basedOn w:val="Normal"/>
    <w:qFormat/>
    <w:pPr/>
    <w:rPr>
      <w:rFonts w:ascii="Arial" w:hAnsi="Arial" w:cs="Arial"/>
      <w:b/>
      <w:spacing w:val="200"/>
      <w:sz w:val="32"/>
    </w:rPr>
  </w:style>
  <w:style w:type="paragraph" w:styleId="zzAddressTag">
    <w:name w:val="zzAddress Tag"/>
    <w:basedOn w:val="Normal"/>
    <w:qFormat/>
    <w:pPr>
      <w:widowControl w:val="false"/>
      <w:spacing w:before="0" w:after="240"/>
    </w:pPr>
    <w:rPr/>
  </w:style>
  <w:style w:type="paragraph" w:styleId="BodyText3">
    <w:name w:val="Body Text 3"/>
    <w:basedOn w:val="BodyText"/>
    <w:qFormat/>
    <w:pPr>
      <w:spacing w:lineRule="auto" w:line="480" w:before="0" w:after="0"/>
    </w:pPr>
    <w:rPr>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Memorandum.dot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2001-09-14T11:33:00Z</dcterms:created>
  <dc:creator>KLJ</dc:creator>
  <dc:description/>
  <dc:language>en-CA</dc:language>
  <cp:lastModifiedBy>akoehle</cp:lastModifiedBy>
  <cp:lastPrinted>2001-09-13T15:31:00Z</cp:lastPrinted>
  <dcterms:modified xsi:type="dcterms:W3CDTF">2001-09-14T11:33:00Z</dcterms:modified>
  <cp:revision>2</cp:revision>
  <dc:subject>Business Terms Questionnaire for Licensing Transactions</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Office - Pre Retention Consultation</vt:lpwstr>
  </property>
  <property fmtid="{D5CDD505-2E9C-101B-9397-08002B2CF9AE}" pid="6" name="Client No.">
    <vt:lpwstr>099908</vt:lpwstr>
  </property>
  <property fmtid="{D5CDD505-2E9C-101B-9397-08002B2CF9AE}" pid="7" name="Date">
    <vt:lpwstr> </vt:lpwstr>
  </property>
  <property fmtid="{D5CDD505-2E9C-101B-9397-08002B2CF9AE}" pid="8" name="Doc Name">
    <vt:lpwstr> </vt:lpwstr>
  </property>
  <property fmtid="{D5CDD505-2E9C-101B-9397-08002B2CF9AE}" pid="9" name="Doc No.">
    <vt:lpwstr>NYOLIB1\KLJ\213507.01(4KQR01!.DOC)</vt:lpwstr>
  </property>
  <property fmtid="{D5CDD505-2E9C-101B-9397-08002B2CF9AE}" pid="10" name="Doc Path">
    <vt:lpwstr> </vt:lpwstr>
  </property>
  <property fmtid="{D5CDD505-2E9C-101B-9397-08002B2CF9AE}" pid="11" name="DocumentType">
    <vt:lpwstr>   </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Hudanish, David M. (NY)</vt:lpwstr>
  </property>
  <property fmtid="{D5CDD505-2E9C-101B-9397-08002B2CF9AE}" pid="15" name="Matter No.">
    <vt:lpwstr>9003</vt:lpwstr>
  </property>
  <property fmtid="{D5CDD505-2E9C-101B-9397-08002B2CF9AE}" pid="16" name="Orig Doc Path">
    <vt:lpwstr> </vt:lpwstr>
  </property>
  <property fmtid="{D5CDD505-2E9C-101B-9397-08002B2CF9AE}" pid="17" name="Parties">
    <vt:lpwstr> </vt:lpwstr>
  </property>
  <property fmtid="{D5CDD505-2E9C-101B-9397-08002B2CF9AE}" pid="18" name="Signer(s)">
    <vt:lpwstr> </vt:lpwstr>
  </property>
</Properties>
</file>