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end"/>
        <w:rPr>
          <w:rFonts w:ascii="Times New Roman" w:hAnsi="Times New Roman" w:cs="Times New Roman"/>
          <w:b/>
        </w:rPr>
      </w:pPr>
      <w:r>
        <w:rPr>
          <w:rFonts w:cs="Times New Roman" w:ascii="Times New Roman" w:hAnsi="Times New Roman"/>
          <w:b/>
        </w:rPr>
        <w:t>MTHM DRAFT</w:t>
      </w:r>
    </w:p>
    <w:p>
      <w:pPr>
        <w:pStyle w:val="Normal"/>
        <w:widowControl/>
        <w:tabs>
          <w:tab w:val="clear" w:pos="720"/>
          <w:tab w:val="right" w:pos="9360" w:leader="none"/>
        </w:tabs>
        <w:jc w:val="end"/>
        <w:rPr>
          <w:rFonts w:ascii="Times New Roman" w:hAnsi="Times New Roman" w:cs="Times New Roman"/>
          <w:b/>
        </w:rPr>
      </w:pPr>
      <w:r>
        <w:rPr>
          <w:rFonts w:cs="Times New Roman" w:ascii="Times New Roman" w:hAnsi="Times New Roman"/>
          <w:b/>
        </w:rPr>
        <w:t>JANUARY 12, 2001</w:t>
      </w:r>
    </w:p>
    <w:p>
      <w:pPr>
        <w:pStyle w:val="Normal"/>
        <w:widowContro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right" w:pos="9360" w:leader="none"/>
        </w:tabs>
        <w:jc w:val="both"/>
        <w:rPr>
          <w:rFonts w:ascii="Times New Roman" w:hAnsi="Times New Roman" w:cs="Times New Roman"/>
        </w:rPr>
      </w:pPr>
      <w:r>
        <w:rPr>
          <w:rFonts w:cs="Times New Roman"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THIS MARGIN AGREEMENT (this “</w:t>
      </w:r>
      <w:r>
        <w:rPr>
          <w:rFonts w:cs="Times New Roman" w:ascii="Times New Roman" w:hAnsi="Times New Roman"/>
          <w:u w:val="single"/>
        </w:rPr>
        <w:t>Agreement</w:t>
      </w:r>
      <w:r>
        <w:rPr>
          <w:rFonts w:cs="Times New Roman" w:ascii="Times New Roman" w:hAnsi="Times New Roman"/>
        </w:rPr>
        <w:t>”) is made and entered into as of this ___ day of [December], 2000, by and among STONEVILLE AEGEAN LIMITED, a company incorporated under the laws of Jersey, Channel Islands (“</w:t>
      </w:r>
      <w:r>
        <w:rPr>
          <w:rFonts w:cs="Times New Roman" w:ascii="Times New Roman" w:hAnsi="Times New Roman"/>
          <w:u w:val="single"/>
        </w:rPr>
        <w:t>Seller</w:t>
      </w:r>
      <w:r>
        <w:rPr>
          <w:rFonts w:cs="Times New Roman" w:ascii="Times New Roman" w:hAnsi="Times New Roman"/>
        </w:rPr>
        <w:t>”) and ENRON NORTH AMERICA CORP., a Delaware corporation (“</w:t>
      </w:r>
      <w:r>
        <w:rPr>
          <w:rFonts w:cs="Times New Roman" w:ascii="Times New Roman" w:hAnsi="Times New Roman"/>
          <w:u w:val="single"/>
        </w:rPr>
        <w:t>Purchaser</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and Purchaser have agreed to provide security for their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t xml:space="preserve">(a)  </w:t>
      </w:r>
      <w:r>
        <w:rPr>
          <w:rFonts w:cs="Times New Roman" w:ascii="Times New Roman" w:hAnsi="Times New Roman"/>
          <w:i/>
        </w:rPr>
        <w:t>Defined Terms</w:t>
      </w:r>
      <w:r>
        <w:rPr>
          <w:rFonts w:cs="Times New Roman"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Calculated Exposure</w:t>
      </w:r>
      <w:r>
        <w:rPr>
          <w:rFonts w:cs="Times New Roman" w:ascii="Times New Roman" w:hAnsi="Times New Roman"/>
        </w:rPr>
        <w:t>” shall mean an amount equal to the Termination Payment that would be due by Seller to Purchaser or by Purchaser to Seller under the Forward Sale Contract if the Forward Sale Contract was terminated pursuant to Section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Event of Default</w:t>
      </w:r>
      <w:r>
        <w:rPr>
          <w:rFonts w:cs="Times New Roman" w:ascii="Times New Roman" w:hAnsi="Times New Roman"/>
        </w:rPr>
        <w:t>”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Excess Market Exposure</w:t>
      </w:r>
      <w:r>
        <w:rPr>
          <w:rFonts w:cs="Times New Roman" w:ascii="Times New Roman" w:hAnsi="Times New Roman"/>
        </w:rPr>
        <w:t>” means the amount by which the absolute value of Total Market Exposure exceeds $1,000,000.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Fair Market Value</w:t>
      </w:r>
      <w:r>
        <w:rPr>
          <w:rFonts w:cs="Times New Roman" w:ascii="Times New Roman" w:hAnsi="Times New Roman"/>
        </w:rPr>
        <w:t>”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FERC</w:t>
      </w:r>
      <w:r>
        <w:rPr>
          <w:rFonts w:cs="Times New Roman" w:ascii="Times New Roman" w:hAnsi="Times New Roman"/>
        </w:rPr>
        <w:t>”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Fixed Undelivered Gas Volume</w:t>
      </w:r>
      <w:r>
        <w:rPr>
          <w:rFonts w:cs="Times New Roman" w:ascii="Times New Roman" w:hAnsi="Times New Roman"/>
        </w:rPr>
        <w:t>” means a Required Delivery Quantity of Natural Gas that has been agreed to pursuant to Section 2.01 of the Forward Sale Contract for a given Delivery Month but which Seller has not delivered.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rPr>
      </w:pPr>
      <w:r>
        <w:rPr>
          <w:rFonts w:cs="Times New Roman"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Forward Sale Contract</w:t>
      </w:r>
      <w:r>
        <w:rPr>
          <w:rFonts w:cs="Times New Roman" w:ascii="Times New Roman" w:hAnsi="Times New Roman"/>
        </w:rPr>
        <w:t>” means the Natural Gas Forward Sale Agreement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GAAP</w:t>
      </w:r>
      <w:r>
        <w:rPr>
          <w:rFonts w:cs="Times New Roman" w:ascii="Times New Roman" w:hAnsi="Times New Roman"/>
        </w:rPr>
        <w:t>” means, with respect to any Party, United States generally accepted accounting principles and policies consistent with those applied by such Party in the preparation of its audited consolidated financial statements.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Henry Hub</w:t>
      </w:r>
      <w:r>
        <w:rPr>
          <w:rFonts w:cs="Times New Roman" w:ascii="Times New Roman" w:hAnsi="Times New Roman"/>
        </w:rPr>
        <w:t>”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Interest Rate</w:t>
      </w:r>
      <w:r>
        <w:rPr>
          <w:rFonts w:cs="Times New Roman"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cs="Times New Roman" w:ascii="Times New Roman" w:hAnsi="Times New Roman"/>
          <w:u w:val="single"/>
        </w:rPr>
        <w:t>minus</w:t>
      </w:r>
      <w:r>
        <w:rPr>
          <w:rFonts w:cs="Times New Roman"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Margin</w:t>
      </w:r>
      <w:r>
        <w:rPr>
          <w:rFonts w:cs="Times New Roman" w:ascii="Times New Roman" w:hAnsi="Times New Roman"/>
        </w:rPr>
        <w:t>” means (i) cash; (ii) Securities; or (iii) other credit support or collateral acceptable to the Secured Party provided that the currency of denomination of all such Margin is U.S. dollars, unless otherwise agreed by the Secured Party and the Pledgor.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Margin Price Confirmation Letter</w:t>
      </w:r>
      <w:r>
        <w:rPr>
          <w:rFonts w:cs="Times New Roman" w:ascii="Times New Roman" w:hAnsi="Times New Roman"/>
        </w:rPr>
        <w:t>”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Margin Reference Price</w:t>
      </w:r>
      <w:r>
        <w:rPr>
          <w:rFonts w:cs="Times New Roman" w:ascii="Times New Roman" w:hAnsi="Times New Roman"/>
        </w:rPr>
        <w:t>”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NYMEX Gas Price</w:t>
      </w:r>
      <w:r>
        <w:rPr>
          <w:rFonts w:cs="Times New Roman" w:ascii="Times New Roman" w:hAnsi="Times New Roman"/>
        </w:rPr>
        <w:t>”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ab/>
        <w:t>“</w:t>
      </w:r>
      <w:r>
        <w:rPr>
          <w:rFonts w:cs="Times New Roman" w:ascii="Times New Roman" w:hAnsi="Times New Roman"/>
          <w:u w:val="single"/>
        </w:rPr>
        <w:t>Party</w:t>
      </w:r>
      <w:r>
        <w:rPr>
          <w:rFonts w:cs="Times New Roman" w:ascii="Times New Roman" w:hAnsi="Times New Roman"/>
        </w:rPr>
        <w:t>” means the Purchaser or the Seller,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Payment Obligations</w:t>
      </w:r>
      <w:r>
        <w:rPr>
          <w:rFonts w:cs="Times New Roman" w:ascii="Times New Roman" w:hAnsi="Times New Roman"/>
        </w:rPr>
        <w:t>” means the obligations of Purchaser to make payments to Seller, or of Seller to make payments to Purchaser, as the case may be,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Times New Roman" w:ascii="Times New Roman" w:hAnsi="Times New Roman"/>
        </w:rPr>
        <w:tab/>
        <w:t>“</w:t>
      </w:r>
      <w:r>
        <w:rPr>
          <w:rFonts w:cs="Times New Roman" w:ascii="Times New Roman" w:hAnsi="Times New Roman"/>
          <w:u w:val="single"/>
        </w:rPr>
        <w:t>Pledgor</w:t>
      </w:r>
      <w:r>
        <w:rPr>
          <w:rFonts w:cs="Times New Roman" w:ascii="Times New Roman" w:hAnsi="Times New Roman"/>
        </w:rPr>
        <w:t>” means the Seller, if the Seller has delivered Margin to the Purchaser pursuant to this Agreement, and the Purchaser, if the Purchaser has delivered Margin to the Seller pursuant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Release Certificate</w:t>
      </w:r>
      <w:r>
        <w:rPr>
          <w:rFonts w:cs="Times New Roman" w:ascii="Times New Roman" w:hAnsi="Times New Roman"/>
        </w:rPr>
        <w:t>” means a writing in which the Pledgor requests the release of any Margin then held by the Secured Party, provides delivery instructions with respect to such Margin and certifies to the satisfaction of the Secured Party that the Trigger Event requiring the posting of Margin by the Pledgor no longer exists.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Secured Party</w:t>
      </w:r>
      <w:r>
        <w:rPr>
          <w:rFonts w:cs="Times New Roman" w:ascii="Times New Roman" w:hAnsi="Times New Roman"/>
        </w:rPr>
        <w:t>” means the party to whom Margin has been delivered pursuant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rPr>
      </w:pPr>
      <w:r>
        <w:rPr>
          <w:rFonts w:cs="Times New Roman" w:ascii="Times New Roman" w:hAnsi="Times New Roman"/>
        </w:rPr>
        <w:t>“</w:t>
      </w:r>
      <w:r>
        <w:rPr>
          <w:rFonts w:cs="Times New Roman" w:ascii="Times New Roman" w:hAnsi="Times New Roman"/>
          <w:u w:val="single"/>
        </w:rPr>
        <w:t>Securities</w:t>
      </w:r>
      <w:r>
        <w:rPr>
          <w:rFonts w:cs="Times New Roman" w:ascii="Times New Roman" w:hAnsi="Times New Roman"/>
        </w:rPr>
        <w:t xml:space="preserve">” means, instruments listed in Exhibit A hereto maintained in the form of an entry on the records of (i) the Federal Reserve Bank of New York pursuant to 31 C.F.R.§306.115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rPr>
      </w:pPr>
      <w:r>
        <w:rPr>
          <w:rFonts w:cs="Times New Roman"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Total Market Exposure</w:t>
      </w:r>
      <w:r>
        <w:rPr>
          <w:rFonts w:cs="Times New Roman" w:ascii="Times New Roman" w:hAnsi="Times New Roman"/>
        </w:rPr>
        <w:t>” means, at any given time, the sum, whether positive or negative, for all Fixed Undelivered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w:t>
      </w:r>
      <w:r>
        <w:rPr>
          <w:rFonts w:cs="Times New Roman" w:ascii="Times New Roman" w:hAnsi="Times New Roman"/>
          <w:u w:val="single"/>
        </w:rPr>
        <w:t>Trigger Event</w:t>
      </w:r>
      <w:r>
        <w:rPr>
          <w:rFonts w:cs="Times New Roman" w:ascii="Times New Roman" w:hAnsi="Times New Roman"/>
        </w:rPr>
        <w:t>” means a situation in which the absolute value of the Total Market Exposure exceeds $1,000,000.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(b)</w:t>
        <w:tab/>
      </w:r>
      <w:r>
        <w:rPr>
          <w:rFonts w:cs="Times New Roman" w:ascii="Times New Roman" w:hAnsi="Times New Roman"/>
          <w:i/>
        </w:rPr>
        <w:t>Margin Price Confirmation Letter</w:t>
      </w:r>
      <w:r>
        <w:rPr>
          <w:rFonts w:cs="Times New Roman" w:ascii="Times New Roman" w:hAnsi="Times New Roman"/>
        </w:rPr>
        <w:t>.  Concurrently with the execution of the Confirmation Letter, Purchaser and the Pledgor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w:t>
        <w:tab/>
      </w:r>
      <w:r>
        <w:rPr>
          <w:rFonts w:cs="Times New Roman" w:ascii="Times New Roman" w:hAnsi="Times New Roman"/>
          <w:b/>
          <w:i/>
        </w:rPr>
        <w:t>Trigger Event; Delivery of Margin</w:t>
      </w:r>
      <w:r>
        <w:rPr>
          <w:rFonts w:cs="Times New Roman" w:ascii="Times New Roman" w:hAnsi="Times New Roman"/>
        </w:rPr>
        <w:t>.  If a Trigger Event occurs and the Excess Market Exposure exceeds $500,000, the Seller, if Total Market Exposure is a positive number, or the Purchaser, if Total Market Exposure is a negative number, shall deliver Margin with a Fair Market Value no less than the Excess Market Exposure within two Business Days.  Cash Margin delivered pursuant to this Agreement shall bear interest at the Interest Rate.  As long as a Trigger Event continues, the Secured Party shall daily recalculate the Excess Market Exposure and immediately notify the Pledgor of such recalculated Excess Market Exposure, and the Pledgor shall deliver additional Margin to the extent required above.  All Margin required hereunder shall be delivered to the Secured Party and held by the Secured Party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3.</w:t>
        <w:tab/>
      </w:r>
      <w:r>
        <w:rPr>
          <w:rFonts w:cs="Times New Roman" w:ascii="Times New Roman" w:hAnsi="Times New Roman"/>
          <w:b/>
          <w:i/>
        </w:rPr>
        <w:t>Return and/or Release of Margin</w:t>
      </w:r>
      <w:r>
        <w:rPr>
          <w:rFonts w:cs="Times New Roman" w:ascii="Times New Roman" w:hAnsi="Times New Roman"/>
        </w:rPr>
        <w:t>.  At any time (including any time when a Trigger Event exists) when the Fair Market Value of the Margin then held by the Secured Party exceeds the Margin required to be delivered pursuant to Section 2 hereof, the Pledgor may request the return and/or release of Margin with a Fair Market Value equal to such excess by written request to the Secured Party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the Secured Party exceeds the Margin required to be delivered pursuant to Section 2 hereof, the Secured Party shall deliver the Margin to be released in accordance with such delivery instructions.  If Margin shall have been delivered under this Agreement and the Trigger Event shall cease to exist, upon receipt of a Release Certificate the Secured Party shall deliver any and all Margin then held by it under this Agreement in accordance with the delivery instructions set forth in such Release Certificate.  The security interest of the Secured Party in respect to particular items of Margin shall cease without the need for any further action on the part of the Secured Party upon delivery by the Secured Party of such Margin to the Pledgor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4.</w:t>
        <w:tab/>
      </w:r>
      <w:r>
        <w:rPr>
          <w:rFonts w:cs="Times New Roman" w:ascii="Times New Roman" w:hAnsi="Times New Roman"/>
          <w:b/>
          <w:i/>
        </w:rPr>
        <w:t>Substitution of Margin</w:t>
      </w:r>
      <w:r>
        <w:rPr>
          <w:rFonts w:cs="Times New Roman" w:ascii="Times New Roman" w:hAnsi="Times New Roman"/>
        </w:rPr>
        <w:t>.  As long as the Fair Market Value of all Margin then held by the Secured Party is no less than the Margin required to be delivered pursuant to Section 2 above, the Pledgor may obtain the release of all or any portion of the Margin then held by the Secured Party by delivering Margin (herein called “</w:t>
      </w:r>
      <w:r>
        <w:rPr>
          <w:rFonts w:cs="Times New Roman" w:ascii="Times New Roman" w:hAnsi="Times New Roman"/>
          <w:u w:val="single"/>
        </w:rPr>
        <w:t>Replacement Margin</w:t>
      </w:r>
      <w:r>
        <w:rPr>
          <w:rFonts w:cs="Times New Roman"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i/>
        </w:rPr>
        <w:t>Proceeds of Margin</w:t>
      </w:r>
      <w:r>
        <w:rPr>
          <w:rFonts w:cs="Times New Roman" w:ascii="Times New Roman" w:hAnsi="Times New Roman"/>
          <w:b/>
        </w:rPr>
        <w:t>.</w:t>
      </w:r>
      <w:r>
        <w:rPr>
          <w:rFonts w:cs="Times New Roman" w:ascii="Times New Roman" w:hAnsi="Times New Roman"/>
        </w:rPr>
        <w:t xml:space="preserve">  All monies and other items received, paid or payable on or in respect of any item included in the Margin shall be held by the Secured Party as additional Margin, subject to the rights of the Pledgor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i/>
        </w:rPr>
        <w:t>Maintenance</w:t>
      </w:r>
      <w:r>
        <w:rPr>
          <w:rFonts w:cs="Times New Roman" w:ascii="Times New Roman" w:hAnsi="Times New Roman"/>
          <w:b/>
        </w:rPr>
        <w:t>.</w:t>
      </w:r>
      <w:r>
        <w:rPr>
          <w:rFonts w:cs="Times New Roman" w:ascii="Times New Roman" w:hAnsi="Times New Roman"/>
        </w:rPr>
        <w:t xml:space="preserve">  The Secured Party agrees that it will cause all Margin received from the Pledgor to be held in one or more accounts (each, a “</w:t>
      </w:r>
      <w:r>
        <w:rPr>
          <w:rFonts w:cs="Times New Roman" w:ascii="Times New Roman" w:hAnsi="Times New Roman"/>
          <w:u w:val="single"/>
        </w:rPr>
        <w:t>Collateral Account</w:t>
      </w:r>
      <w:r>
        <w:rPr>
          <w:rFonts w:cs="Times New Roman" w:ascii="Times New Roman" w:hAnsi="Times New Roman"/>
        </w:rPr>
        <w:t>”) with a domestic office of a commercial bank or trust company organized under the laws of the United States or a political subdivision thereof having assets of at least $1 Billion (a “</w:t>
      </w:r>
      <w:r>
        <w:rPr>
          <w:rFonts w:cs="Times New Roman" w:ascii="Times New Roman" w:hAnsi="Times New Roman"/>
          <w:u w:val="single"/>
        </w:rPr>
        <w:t>Qualified Institution</w:t>
      </w:r>
      <w:r>
        <w:rPr>
          <w:rFonts w:cs="Times New Roman" w:ascii="Times New Roman" w:hAnsi="Times New Roman"/>
        </w:rPr>
        <w:t>”) which Qualified Institution shall be chosen by the Secured Party (except as provided in clause (b) below) and may be the Pledgor (provided the Pledgor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Secured Party shall have no interest in the Margin except the security interest granted in Section 7 of this Agreement until it has acquired some greater interest by exercise of its rights pursuant to Section 8 of this Agreement.  The Pledgor shall have the right at any time upon three Business Days notice to require (a) the segregation of all Margin provided by the Pledgor in an appropriately labeled separate account (including, but not limited to, a separate account in the trust department of the Qualified Institution, provided that the Pledgor shall pay the expenses of establishing and maintaining such a trust department account), or (b) the transfer of all Margin to a Qualified Institution (other than the Pledgor) nominated and paid for by the Pledgor, which shall serve as custodian for the Margin on behalf of the Secured Party (in accordance with documentation satisfactory in form and substance to the Secured Party).  The Secured Party shall cause statements concerning the Margin held in each Collateral Account to be delivered to the Pledgor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7.</w:t>
        <w:tab/>
      </w:r>
      <w:r>
        <w:rPr>
          <w:rFonts w:cs="Times New Roman" w:ascii="Times New Roman" w:hAnsi="Times New Roman"/>
          <w:b/>
          <w:i/>
        </w:rPr>
        <w:t>Security Interest</w:t>
      </w:r>
      <w:r>
        <w:rPr>
          <w:rFonts w:cs="Times New Roman" w:ascii="Times New Roman" w:hAnsi="Times New Roman"/>
        </w:rPr>
        <w:t>.  As security for all Payment Obligations due or that may become due from the Pledgor to the Secured Party, the Pledgor hereby grants to the Secured Party a security interest in all Margin from time to time delivered to the Secured Party pursuant to this Agreement and all proceeds thereof, additions thereto and substitutions therefor.  Upon the request of the Secured Party, the Pledgor will execute and deliver such other instruments or documents and take such other actions, as may be necessary or desirable to perfect and/or maintain the perfection and priority of the security interests granted under this Section 7 and will provide the Secured Party such legal opinions as reasonably may be requested regarding the authority of the Pledgor to deliver Margin hereunder.  The Pledgor hereby irrevocably constitutes and appoints the Secured Party its true and lawful attorney-in-fact with full and irrevocable power and authority in the place and stead of the Pledgor and in the name of the Pledgor or the name of the Secured Party to take any and all appropriate action and execute and deliver any and all documents and instruments which may be necessary or desirable to accomplish the purposes of this Section 7, and without limiting the generality of the foregoing, the Pledgor hereby gives the Secured Party the power and right, on behalf of the Pledgor, without prior notice to or assent of the Pledgor, but with prompt notice thereafter to the Pledgor,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w:t>
        <w:tab/>
        <w:t>indorse any note or other instrument included in the Margin whenever such indorsement is necessary or desirable for the perfection of the security interest in favor of the Secured Party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Secured Party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(iii)</w:t>
        <w:tab/>
        <w:t>upon the failure of the Pledgor timely to pay any Payment Obligation:  (A) direct any Person liable for any payment under any of the Margin to make payment of any and all moneys due or to become due thereunder directly to the Secured Party; (B) ask or demand for, collect, receive payment of and receipt for, any and all moneys, claims and other amounts due or to become due in respect of the Margin; (C) sign and indorse the name of the Pledgor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the Pledgor with respect to the Margin; (F) settle, compromise or adjust any suit, action or proceeding described in the preceding clause (E) and, in connection therewith, give such discharges or releases as the Secured Party may deem appropriate; and (G) sell, transfer, pledge and make any agreement with respect to or otherwise deal with any of the Margin as fully and completely as though the Secured Party were the absolute owner thereof for all purposes and do, at the Pledgor's expense, at any time and from time to time, all acts and things necessary to protect, preserve or realize upon the Margin and the security interest in favor of the Pledgor therein and to effect the intent of this Agreement, all as fully as the Pledgor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the Secured Party, shall be fully protected in treating the powers and authorities conferred by this Section 7 as existing and continuing in full force and effect until advised by the Secured Party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8.</w:t>
        <w:tab/>
      </w:r>
      <w:r>
        <w:rPr>
          <w:rFonts w:cs="Times New Roman" w:ascii="Times New Roman" w:hAnsi="Times New Roman"/>
          <w:b/>
          <w:i/>
        </w:rPr>
        <w:t>Rehypothecation.</w:t>
      </w:r>
      <w:r>
        <w:rPr>
          <w:rFonts w:cs="Times New Roman" w:ascii="Times New Roman" w:hAnsi="Times New Roman"/>
        </w:rPr>
        <w:t xml:space="preserve">  Without otherwise limiting the rights and obligations of the parties hereunder, if no Event of Default has occurred or been designated with respect to the Secured Party, then the Secured Party will, notwithstanding Section 9-207 of the New York Uniform Commercial Code, have the right to (i) sell, pledge, rehypothecate, assign, invest, use or otherwise dispose of, or otherwise use in its business any Margin provided by the Pledgor it holds, free from any claim or right of any nature whatsoever of the Pledgor, including any equity or right of redemption by the Pledgor, other than the rights explicitly set forth elsewhere herein; and (ii) register any Margin in the name of the Secured Party, its assignee or a nominee for either. Notwithstanding the foregoing, the Secured Party will be deemed to continue to hold all Margin (or, if the Secured Party sells, uses or disposes of such Margin in accordance with this Section, then an amount of cash or substitute Margin equal to the Fair Market Value of such Margin as of the date of such sale, use or disposition) and to receive all principal, interest and other payments and distributions of cash or other property with respect thereto, regardless of whether the Secured Party has exercised any rights with respect to Margin pursuant to (i) or (ii)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u w:val="double"/>
        </w:rPr>
      </w:pPr>
      <w:r>
        <w:rPr>
          <w:rFonts w:cs="Times New Roman" w:ascii="Times New Roman" w:hAnsi="Times New Roman"/>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9.</w:t>
        <w:tab/>
      </w:r>
      <w:r>
        <w:rPr>
          <w:rFonts w:cs="Times New Roman" w:ascii="Times New Roman" w:hAnsi="Times New Roman"/>
          <w:b/>
          <w:i/>
        </w:rPr>
        <w:t>Failure of Payment</w:t>
      </w:r>
      <w:r>
        <w:rPr>
          <w:rFonts w:cs="Times New Roman" w:ascii="Times New Roman" w:hAnsi="Times New Roman"/>
        </w:rPr>
        <w:t>.  Upon the failure of the Pledgor timely to pay any Payment Obligation, the Secured Party may, and shall if so directed by the Pledgor, liquidate any non-cash Margin, including any time deposits, in a commercially reasonable manner and apply any cash Margin, including the proceeds of any such non-cash Margin, to the Payment Obligations then due in such order as the Secured Party may direct.  The rights and remedies of the Secured Party under this Agreement shall be cumulative to all other rights and remedies available to the Secured Party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10.</w:t>
        <w:tab/>
      </w:r>
      <w:r>
        <w:rPr>
          <w:rFonts w:cs="Times New Roman" w:ascii="Times New Roman" w:hAnsi="Times New Roman"/>
          <w:b/>
          <w:i/>
        </w:rPr>
        <w:t>Miscellaneous</w:t>
      </w:r>
      <w:r>
        <w:rPr>
          <w:rFonts w:cs="Times New Roman"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(a)</w:t>
        <w:tab/>
      </w:r>
      <w:r>
        <w:rPr>
          <w:rFonts w:cs="Times New Roman" w:ascii="Times New Roman" w:hAnsi="Times New Roman"/>
          <w:i/>
        </w:rPr>
        <w:t>Notices</w:t>
      </w:r>
      <w:r>
        <w:rPr>
          <w:rFonts w:cs="Times New Roman"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Stoneville Aegean Limited</w:t>
      </w:r>
    </w:p>
    <w:p>
      <w:pPr>
        <w:pStyle w:val="Normal"/>
        <w:keepNext w:val="true"/>
        <w:spacing w:lineRule="exact" w:line="235"/>
        <w:jc w:val="both"/>
        <w:rPr/>
      </w:pPr>
      <w:r>
        <w:rPr>
          <w:rFonts w:cs="Times New Roman" w:ascii="Times New Roman" w:hAnsi="Times New Roman"/>
        </w:rPr>
        <w:tab/>
        <w:tab/>
      </w:r>
      <w:r>
        <w:rPr>
          <w:rFonts w:cs="Times New Roman" w:ascii="Times New Roman" w:hAnsi="Times New Roman"/>
          <w:u w:val="single"/>
        </w:rPr>
        <w:tab/>
        <w:tab/>
      </w:r>
      <w:r>
        <w:rPr>
          <w:u w:val="single"/>
        </w:rPr>
        <w:tab/>
      </w:r>
    </w:p>
    <w:p>
      <w:pPr>
        <w:pStyle w:val="Normal"/>
        <w:keepNext w:val="true"/>
        <w:spacing w:lineRule="exact" w:line="235"/>
        <w:jc w:val="both"/>
        <w:rPr/>
      </w:pPr>
      <w:r>
        <w:rPr>
          <w:rFonts w:cs="Times New Roman" w:ascii="Times New Roman" w:hAnsi="Times New Roman"/>
        </w:rPr>
        <w:tab/>
        <w:tab/>
      </w:r>
      <w:r>
        <w:rPr>
          <w:rFonts w:cs="Times New Roman" w:ascii="Times New Roman" w:hAnsi="Times New Roman"/>
          <w:u w:val="single"/>
        </w:rPr>
        <w:tab/>
        <w:tab/>
        <w:tab/>
      </w:r>
    </w:p>
    <w:p>
      <w:pPr>
        <w:pStyle w:val="Normal"/>
        <w:keepLines/>
        <w:spacing w:lineRule="exact" w:line="235"/>
        <w:ind w:firstLine="720" w:end="0"/>
        <w:jc w:val="both"/>
        <w:rPr/>
      </w:pPr>
      <w:r>
        <w:rPr>
          <w:rFonts w:cs="Times New Roman" w:ascii="Times New Roman" w:hAnsi="Times New Roman"/>
        </w:rPr>
        <w:tab/>
        <w:t xml:space="preserve">Jersey, Channel Islands </w:t>
      </w:r>
      <w:r>
        <w:rPr>
          <w:rFonts w:cs="Times New Roman" w:ascii="Times New Roman" w:hAnsi="Times New Roman"/>
          <w:u w:val="single"/>
        </w:rPr>
        <w:tab/>
      </w:r>
    </w:p>
    <w:p>
      <w:pPr>
        <w:pStyle w:val="Normal"/>
        <w:spacing w:lineRule="exact" w:line="235"/>
        <w:jc w:val="both"/>
        <w:rPr>
          <w:rFonts w:ascii="Times New Roman" w:hAnsi="Times New Roman" w:cs="Times New Roman"/>
        </w:rPr>
      </w:pPr>
      <w:r>
        <w:rPr>
          <w:rFonts w:cs="Times New Roman" w:ascii="Times New Roman" w:hAnsi="Times New Roman"/>
        </w:rPr>
        <w:tab/>
        <w:tab/>
        <w:t>Attention:</w:t>
        <w:tab/>
      </w:r>
      <w:r>
        <w:rPr>
          <w:rFonts w:cs="Times New Roman" w:ascii="Times New Roman" w:hAnsi="Times New Roman"/>
          <w:u w:val="single"/>
        </w:rPr>
        <w:tab/>
        <w:tab/>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 xml:space="preserve">Telecopier No.:  </w:t>
      </w:r>
      <w:r>
        <w:rPr>
          <w:rFonts w:cs="Times New Roman" w:ascii="Times New Roman" w:hAnsi="Times New Roman"/>
          <w:u w:val="single"/>
        </w:rPr>
        <w:tab/>
        <w:tab/>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 xml:space="preserve">Telephone No.:  </w:t>
      </w:r>
      <w:r>
        <w:rPr>
          <w:rFonts w:cs="Times New Roman" w:ascii="Times New Roman" w:hAnsi="Times New Roman"/>
          <w:u w:val="single"/>
        </w:rPr>
        <w:tab/>
        <w:tab/>
      </w:r>
    </w:p>
    <w:p>
      <w:pPr>
        <w:pStyle w:val="Normal"/>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with copy to:</w:t>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ab/>
        <w:t>The Chase Manhattan Bank</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270 Park Avenue, 40th Floor</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New York, New York 10017</w:t>
      </w:r>
    </w:p>
    <w:p>
      <w:pPr>
        <w:pStyle w:val="Normal"/>
        <w:keepLines/>
        <w:spacing w:lineRule="exact" w:line="235"/>
        <w:jc w:val="both"/>
        <w:rPr>
          <w:rFonts w:ascii="Times New Roman" w:hAnsi="Times New Roman" w:cs="Times New Roman"/>
        </w:rPr>
      </w:pPr>
      <w:r>
        <w:rPr>
          <w:rFonts w:cs="Times New Roman" w:ascii="Times New Roman" w:hAnsi="Times New Roman"/>
        </w:rPr>
        <w:tab/>
        <w:tab/>
        <w:tab/>
        <w:t>Attention:   Legal Department</w:t>
      </w:r>
    </w:p>
    <w:p>
      <w:pPr>
        <w:pStyle w:val="Normal"/>
        <w:spacing w:lineRule="exact" w:line="235"/>
        <w:jc w:val="both"/>
        <w:rPr>
          <w:rFonts w:ascii="Times New Roman" w:hAnsi="Times New Roman" w:cs="Times New Roman"/>
        </w:rPr>
      </w:pPr>
      <w:r>
        <w:rPr>
          <w:rFonts w:cs="Times New Roman" w:ascii="Times New Roman" w:hAnsi="Times New Roman"/>
        </w:rPr>
        <w:tab/>
        <w:tab/>
        <w:tab/>
        <w:t>Telecopier No.: (212) 270-7368</w:t>
      </w:r>
    </w:p>
    <w:p>
      <w:pPr>
        <w:pStyle w:val="Normal"/>
        <w:spacing w:lineRule="exact" w:line="235"/>
        <w:jc w:val="both"/>
        <w:rPr>
          <w:rFonts w:ascii="Times New Roman" w:hAnsi="Times New Roman" w:cs="Times New Roman"/>
        </w:rPr>
      </w:pPr>
      <w:r>
        <w:rPr>
          <w:rFonts w:cs="Times New Roman" w:ascii="Times New Roman" w:hAnsi="Times New Roman"/>
        </w:rPr>
        <w:tab/>
        <w:tab/>
        <w:tab/>
        <w:t>Telephone No.: 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spacing w:lineRule="exact" w:line="235"/>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b/>
        <w:t>Enron North America Corp.</w:t>
      </w:r>
    </w:p>
    <w:p>
      <w:pPr>
        <w:pStyle w:val="Normal"/>
        <w:spacing w:lineRule="exact" w:line="235"/>
        <w:jc w:val="both"/>
        <w:rPr>
          <w:rFonts w:ascii="Times New Roman" w:hAnsi="Times New Roman" w:cs="Times New Roman"/>
        </w:rPr>
      </w:pPr>
      <w:r>
        <w:rPr>
          <w:rFonts w:cs="Times New Roman" w:ascii="Times New Roman" w:hAnsi="Times New Roman"/>
        </w:rPr>
        <w:tab/>
        <w:tab/>
        <w:t>1400 Smith Street</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Houston, Texas 77002</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Attention: Documentation and Deal Clearing</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Telecopier No.: (713) 646-4816 and (713) 646-4818</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Telephone No.:  (713) 853-5472</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with copies to:</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Enron Corp.</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1400 Smith Street</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Houston, Texas 77002</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Attention:  Vice President, Finance and Treasurer</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Telecopier No.:  (713) 646-3422</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Telephone No.:  (713) 853-6161</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and</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Enron Corp.</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1400 Smith Street</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Houston, Texas  77002</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Attention:  Donna Lowry</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Telecopier No.: (713) 646-4039</w:t>
      </w:r>
    </w:p>
    <w:p>
      <w:pPr>
        <w:pStyle w:val="Normal"/>
        <w:spacing w:lineRule="exact" w:line="235"/>
        <w:ind w:firstLine="720" w:start="720" w:end="0"/>
        <w:jc w:val="both"/>
        <w:rPr>
          <w:rFonts w:ascii="Times New Roman" w:hAnsi="Times New Roman" w:cs="Times New Roman"/>
        </w:rPr>
      </w:pPr>
      <w:r>
        <w:rPr>
          <w:rFonts w:cs="Times New Roman" w:ascii="Times New Roman" w:hAnsi="Times New Roman"/>
        </w:rPr>
        <w:tab/>
        <w:t>Telephone No.:  (713) 853-1939</w:t>
      </w:r>
    </w:p>
    <w:p>
      <w:pPr>
        <w:pStyle w:val="Normal"/>
        <w:spacing w:lineRule="exact" w:line="235"/>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(b)</w:t>
        <w:tab/>
      </w:r>
      <w:r>
        <w:rPr>
          <w:rFonts w:cs="Times New Roman" w:ascii="Times New Roman" w:hAnsi="Times New Roman"/>
          <w:i/>
        </w:rPr>
        <w:t>Execution, Amendments, Binding Effect and Assignments</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(ii)</w:t>
        <w:tab/>
        <w:t xml:space="preserve">Except as expressly provided in this Section 9(b)(ii), neither Party may assign any rights or delegate any obligations hereunder without the prior written consent of the other Party.  Without the consent of the other Party, either Party may assign this Agreement as security for any financing or hedging provided to that Party. Upon notice to the other Party of the foreclosure upon this Agreement, such Party will agree to substitute the secured party for the Party that assigned this Agreement hereunder.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(c)</w:t>
        <w:tab/>
      </w:r>
      <w:r>
        <w:rPr>
          <w:rFonts w:cs="Times New Roman" w:ascii="Times New Roman" w:hAnsi="Times New Roman"/>
          <w:i/>
        </w:rPr>
        <w:t>Entire Agreement</w:t>
      </w:r>
      <w:r>
        <w:rPr>
          <w:rFonts w:cs="Times New Roman"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(d)</w:t>
        <w:tab/>
      </w:r>
      <w:r>
        <w:rPr>
          <w:rFonts w:cs="Times New Roman" w:ascii="Times New Roman" w:hAnsi="Times New Roman"/>
          <w:i/>
        </w:rPr>
        <w:t>Governing Law</w:t>
      </w:r>
      <w:r>
        <w:rPr>
          <w:rFonts w:cs="Times New Roman"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(e)</w:t>
        <w:tab/>
      </w:r>
      <w:r>
        <w:rPr>
          <w:rFonts w:cs="Times New Roman" w:ascii="Times New Roman" w:hAnsi="Times New Roman"/>
          <w:i/>
        </w:rPr>
        <w:t>Invalidity; Unenforceability</w:t>
      </w:r>
      <w:r>
        <w:rPr>
          <w:rFonts w:cs="Times New Roman"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center"/>
        <w:rPr>
          <w:rFonts w:ascii="Times New Roman" w:hAnsi="Times New Roman" w:cs="Times New Roman"/>
        </w:rPr>
      </w:pPr>
      <w:r>
        <w:rPr>
          <w:rFonts w:cs="Times New Roman" w:ascii="Times New Roman" w:hAnsi="Times New Roman"/>
        </w:rPr>
        <w:t>[Remainder of Page Intentionally Left Blank]</w:t>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STONEVILLE AEGEAN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rPr>
        <w:t xml:space="preserve">     </w:t>
      </w:r>
      <w:r>
        <w:rPr>
          <w:rFonts w:cs="Times New Roman" w:ascii="Times New Roman" w:hAnsi="Times New Roman"/>
        </w:rPr>
        <w:t>Title:</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rPr>
        <w:t xml:space="preserve">     </w:t>
      </w:r>
      <w:r>
        <w:rPr>
          <w:rFonts w:cs="Times New Roman" w:ascii="Times New Roman" w:hAnsi="Times New Roman"/>
        </w:rPr>
        <w:t>Title:</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center"/>
        <w:rPr>
          <w:rFonts w:ascii="Times New Roman" w:hAnsi="Times New Roman" w:cs="Times New Roman"/>
          <w:u w:val="single"/>
        </w:rPr>
      </w:pPr>
      <w:r>
        <w:rPr>
          <w:rFonts w:cs="Times New Roman" w:ascii="Times New Roman" w:hAnsi="Times New Roman"/>
          <w:u w:val="single"/>
        </w:rPr>
        <w:t>Exhibit A</w:t>
      </w:r>
    </w:p>
    <w:p>
      <w:pPr>
        <w:pStyle w:val="Normal"/>
        <w:tabs>
          <w:tab w:val="clear" w:pos="720"/>
          <w:tab w:val="center" w:pos="4680" w:leader="none"/>
        </w:tabs>
        <w:suppressAutoHyphens w:val="true"/>
        <w:jc w:val="both"/>
        <w:rPr>
          <w:rFonts w:ascii="Times New Roman" w:hAnsi="Times New Roman" w:cs="Times New Roman"/>
        </w:rPr>
      </w:pPr>
      <w:r>
        <w:rPr>
          <w:rFonts w:cs="Times New Roman"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ab/>
      </w:r>
      <w:r>
        <w:rPr>
          <w:rFonts w:cs="Times New Roman" w:ascii="Times New Roman" w:hAnsi="Times New Roman"/>
          <w:u w:val="single"/>
        </w:rPr>
        <w:t>Security</w:t>
      </w:r>
      <w:r>
        <w:rPr>
          <w:rFonts w:cs="Times New Roman" w:ascii="Times New Roman" w:hAnsi="Times New Roman"/>
        </w:rPr>
        <w:tab/>
      </w:r>
      <w:r>
        <w:rPr>
          <w:rFonts w:cs="Times New Roman"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1.      Securities issued or directly and fully guaranteed or insured by the United States of America having maturities of five years or less from the date such Securities are delivered as Margin.</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3.     Securities issued or directly and fully guaranteed or insured by the United States of America having maturities of ten years or more from the date such Securities are delivered as Margin.</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95%</w:t>
            </w:r>
          </w:p>
        </w:tc>
      </w:tr>
    </w:tbl>
    <w:p>
      <w:pPr>
        <w:pStyle w:val="Normal"/>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rPr/>
    </w:pPr>
    <w:r>
      <w:rPr/>
      <w:tab/>
      <w:tab/>
      <w:tab/>
    </w:r>
    <w:r>
      <w:rPr>
        <w:rFonts w:cs="Times New Roman" w:ascii="Times New Roman" w:hAnsi="Times New Roman"/>
        <w:smallCaps/>
        <w:sz w:val="20"/>
      </w:rPr>
      <w:t>Margin Agreement (Stoneville/ENA)</w:t>
    </w:r>
  </w:p>
  <w:p>
    <w:pPr>
      <w:pStyle w:val="Normal"/>
      <w:spacing w:lineRule="exact" w:line="200"/>
      <w:rPr/>
    </w:pPr>
    <w:r>
      <w:rPr>
        <w:rStyle w:val="zzmpTrailerItem"/>
      </w:rPr>
      <w:t>NY3:#7258749v3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mallCaps/>
        <w:sz w:val="20"/>
      </w:rPr>
    </w:pPr>
    <w:r>
      <w:rPr>
        <w:rFonts w:cs="Times New Roman" w:ascii="Times New Roman" w:hAnsi="Times New Roman"/>
        <w:smallCaps/>
        <w:sz w:val="20"/>
      </w:rPr>
      <w:t>Exhibit A</w:t>
    </w:r>
  </w:p>
  <w:p>
    <w:pPr>
      <w:pStyle w:val="Normal"/>
      <w:spacing w:lineRule="exact" w:line="200"/>
      <w:rPr/>
    </w:pPr>
    <w:r>
      <w:rPr>
        <w:rStyle w:val="zzmpTrailerItem"/>
      </w:rPr>
      <w:t>NY3:#7258749v3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mallCaps/>
        <w:sz w:val="20"/>
      </w:rPr>
    </w:pPr>
    <w:r>
      <w:rPr>
        <w:rFonts w:cs="Times New Roman" w:ascii="Times New Roman" w:hAnsi="Times New Roman"/>
        <w:smallCaps/>
        <w:sz w:val="20"/>
      </w:rPr>
      <w:t>Exhibit A</w:t>
    </w:r>
  </w:p>
  <w:p>
    <w:pPr>
      <w:pStyle w:val="Normal"/>
      <w:spacing w:lineRule="exact" w:line="200"/>
      <w:rPr/>
    </w:pPr>
    <w:r>
      <w:rPr>
        <w:rStyle w:val="zzmpTrailerItem"/>
      </w:rPr>
      <w:t>NY3:#7258749v3</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zzmpFixedDOC_ID" w:val="NY3:#7258749v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2001-01-12T18:10:00Z</dcterms:created>
  <dc:creator>August E. Shouse</dc:creator>
  <dc:description/>
  <dc:language>en-CA</dc:language>
  <cp:lastModifiedBy>Melanie J. Wilson</cp:lastModifiedBy>
  <cp:lastPrinted>2000-12-27T11:40:00Z</cp:lastPrinted>
  <dcterms:modified xsi:type="dcterms:W3CDTF">2001-01-12T18:18:00Z</dcterms:modified>
  <cp:revision>3</cp:revision>
  <dc:subject/>
  <dc:title>EXECUTION COPY</dc:title>
</cp:coreProperties>
</file>