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20"/>
          <w:tab w:val="left" w:pos="-1080" w:leader="none"/>
          <w:tab w:val="left" w:pos="-720" w:leader="none"/>
          <w:tab w:val="left" w:pos="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4"/>
          <w:szCs w:val="24"/>
        </w:rPr>
      </w:pPr>
      <w:r>
        <w:rPr>
          <w:sz w:val="24"/>
          <w:szCs w:val="24"/>
        </w:rPr>
      </w:r>
      <w:r>
        <mc:AlternateContent>
          <mc:Choice Requires="wps">
            <w:drawing>
              <wp:anchor behindDoc="0" distT="152400" distB="152400" distL="152400" distR="152400" simplePos="0" locked="0" layoutInCell="0" allowOverlap="1" relativeHeight="2">
                <wp:simplePos x="0" y="0"/>
                <wp:positionH relativeFrom="margin">
                  <wp:align>center</wp:align>
                </wp:positionH>
                <wp:positionV relativeFrom="paragraph">
                  <wp:posOffset>-164465</wp:posOffset>
                </wp:positionV>
                <wp:extent cx="6299200" cy="1646555"/>
                <wp:effectExtent l="0" t="0" r="0" b="0"/>
                <wp:wrapSquare wrapText="bothSides"/>
                <wp:docPr id="1" name="Frame1"/>
                <a:graphic xmlns:a="http://schemas.openxmlformats.org/drawingml/2006/main">
                  <a:graphicData uri="http://schemas.microsoft.com/office/word/2010/wordprocessingShape">
                    <wps:wsp>
                      <wps:cNvSpPr txBox="1"/>
                      <wps:spPr>
                        <a:xfrm>
                          <a:off x="0" y="0"/>
                          <a:ext cx="6299200" cy="1646555"/>
                        </a:xfrm>
                        <a:prstGeom prst="rect"/>
                        <a:solidFill>
                          <a:srgbClr val="FFFFFF">
                            <a:alpha val="0"/>
                          </a:srgbClr>
                        </a:solidFill>
                        <a:ln w="38100">
                          <a:solidFill>
                            <a:srgbClr val="000000"/>
                          </a:solidFill>
                        </a:ln>
                      </wps:spPr>
                      <wps:txbx>
                        <w:txbxContent>
                          <w:p>
                            <w:pPr>
                              <w:pStyle w:val="Normal"/>
                              <w:jc w:val="center"/>
                              <w:rPr>
                                <w:sz w:val="24"/>
                                <w:szCs w:val="24"/>
                              </w:rPr>
                            </w:pPr>
                            <w:r>
                              <w:rPr>
                                <w:b/>
                                <w:bCs/>
                                <w:sz w:val="19"/>
                                <w:szCs w:val="19"/>
                              </w:rPr>
                              <w:t>MEMORANDUM FROM</w:t>
                            </w:r>
                          </w:p>
                          <w:p>
                            <w:pPr>
                              <w:pStyle w:val="Normal"/>
                              <w:jc w:val="both"/>
                              <w:rPr>
                                <w:sz w:val="24"/>
                                <w:szCs w:val="24"/>
                              </w:rPr>
                            </w:pPr>
                            <w:r>
                              <w:rPr>
                                <w:sz w:val="24"/>
                                <w:szCs w:val="24"/>
                              </w:rPr>
                            </w:r>
                          </w:p>
                          <w:p>
                            <w:pPr>
                              <w:pStyle w:val="Normal"/>
                              <w:jc w:val="center"/>
                              <w:rPr>
                                <w:sz w:val="24"/>
                                <w:szCs w:val="24"/>
                              </w:rPr>
                            </w:pPr>
                            <w:r>
                              <w:rPr>
                                <w:b/>
                                <w:bCs/>
                                <w:sz w:val="36"/>
                                <w:szCs w:val="36"/>
                              </w:rPr>
                              <w:t>GARDERE WYNNE SEWELL &amp; RIGGS, L.L.P.</w:t>
                            </w:r>
                          </w:p>
                          <w:p>
                            <w:pPr>
                              <w:pStyle w:val="Normal"/>
                              <w:jc w:val="center"/>
                              <w:rPr>
                                <w:sz w:val="24"/>
                                <w:szCs w:val="24"/>
                              </w:rPr>
                            </w:pPr>
                            <w:r>
                              <w:rPr>
                                <w:sz w:val="24"/>
                                <w:szCs w:val="24"/>
                              </w:rPr>
                              <w:t>ATTORNEYS AND COUNSELORS</w:t>
                            </w:r>
                          </w:p>
                          <w:p>
                            <w:pPr>
                              <w:pStyle w:val="Normal"/>
                              <w:jc w:val="center"/>
                              <w:rPr>
                                <w:sz w:val="24"/>
                                <w:szCs w:val="24"/>
                              </w:rPr>
                            </w:pPr>
                            <w:r>
                              <w:rPr>
                                <w:sz w:val="24"/>
                                <w:szCs w:val="24"/>
                              </w:rPr>
                              <w:t>1000 Louisiana, Suite 3400</w:t>
                            </w:r>
                          </w:p>
                          <w:p>
                            <w:pPr>
                              <w:pStyle w:val="Normal"/>
                              <w:jc w:val="center"/>
                              <w:rPr>
                                <w:sz w:val="24"/>
                                <w:szCs w:val="24"/>
                              </w:rPr>
                            </w:pPr>
                            <w:r>
                              <w:rPr>
                                <w:sz w:val="24"/>
                                <w:szCs w:val="24"/>
                              </w:rPr>
                              <w:t>Houston, Texas 77002-5007</w:t>
                            </w:r>
                          </w:p>
                          <w:p>
                            <w:pPr>
                              <w:pStyle w:val="Normal"/>
                              <w:jc w:val="center"/>
                              <w:rPr>
                                <w:sz w:val="24"/>
                                <w:szCs w:val="24"/>
                              </w:rPr>
                            </w:pPr>
                            <w:r>
                              <w:rPr>
                                <w:sz w:val="24"/>
                                <w:szCs w:val="24"/>
                              </w:rPr>
                              <w:t>(713) 276-5500</w:t>
                            </w:r>
                          </w:p>
                        </w:txbxContent>
                      </wps:txbx>
                      <wps:bodyPr anchor="t" lIns="139700" tIns="139700" rIns="139700" bIns="139700">
                        <a:noAutofit/>
                      </wps:bodyPr>
                    </wps:wsp>
                  </a:graphicData>
                </a:graphic>
              </wp:anchor>
            </w:drawing>
          </mc:Choice>
          <mc:Fallback>
            <w:pict>
              <v:rect fillcolor="#FFFFFF" strokecolor="#000000" strokeweight="3pt" style="position:absolute;rotation:-0;width:496pt;height:129.65pt;mso-wrap-distance-left:12pt;mso-wrap-distance-right:12pt;mso-wrap-distance-top:12pt;mso-wrap-distance-bottom:12pt;margin-top:-12.95pt;mso-position-vertical-relative:text;margin-left:-14pt;mso-position-horizontal:center;mso-position-horizontal-relative:margin">
                <v:fill opacity="0f"/>
                <v:textbox inset="0.152777777777778in,0.152777777777778in,0.152777777777778in,0.152777777777778in">
                  <w:txbxContent>
                    <w:p>
                      <w:pPr>
                        <w:pStyle w:val="Normal"/>
                        <w:jc w:val="center"/>
                        <w:rPr>
                          <w:sz w:val="24"/>
                          <w:szCs w:val="24"/>
                        </w:rPr>
                      </w:pPr>
                      <w:r>
                        <w:rPr>
                          <w:b/>
                          <w:bCs/>
                          <w:sz w:val="19"/>
                          <w:szCs w:val="19"/>
                        </w:rPr>
                        <w:t>MEMORANDUM FROM</w:t>
                      </w:r>
                    </w:p>
                    <w:p>
                      <w:pPr>
                        <w:pStyle w:val="Normal"/>
                        <w:jc w:val="both"/>
                        <w:rPr>
                          <w:sz w:val="24"/>
                          <w:szCs w:val="24"/>
                        </w:rPr>
                      </w:pPr>
                      <w:r>
                        <w:rPr>
                          <w:sz w:val="24"/>
                          <w:szCs w:val="24"/>
                        </w:rPr>
                      </w:r>
                    </w:p>
                    <w:p>
                      <w:pPr>
                        <w:pStyle w:val="Normal"/>
                        <w:jc w:val="center"/>
                        <w:rPr>
                          <w:sz w:val="24"/>
                          <w:szCs w:val="24"/>
                        </w:rPr>
                      </w:pPr>
                      <w:r>
                        <w:rPr>
                          <w:b/>
                          <w:bCs/>
                          <w:sz w:val="36"/>
                          <w:szCs w:val="36"/>
                        </w:rPr>
                        <w:t>GARDERE WYNNE SEWELL &amp; RIGGS, L.L.P.</w:t>
                      </w:r>
                    </w:p>
                    <w:p>
                      <w:pPr>
                        <w:pStyle w:val="Normal"/>
                        <w:jc w:val="center"/>
                        <w:rPr>
                          <w:sz w:val="24"/>
                          <w:szCs w:val="24"/>
                        </w:rPr>
                      </w:pPr>
                      <w:r>
                        <w:rPr>
                          <w:sz w:val="24"/>
                          <w:szCs w:val="24"/>
                        </w:rPr>
                        <w:t>ATTORNEYS AND COUNSELORS</w:t>
                      </w:r>
                    </w:p>
                    <w:p>
                      <w:pPr>
                        <w:pStyle w:val="Normal"/>
                        <w:jc w:val="center"/>
                        <w:rPr>
                          <w:sz w:val="24"/>
                          <w:szCs w:val="24"/>
                        </w:rPr>
                      </w:pPr>
                      <w:r>
                        <w:rPr>
                          <w:sz w:val="24"/>
                          <w:szCs w:val="24"/>
                        </w:rPr>
                        <w:t>1000 Louisiana, Suite 3400</w:t>
                      </w:r>
                    </w:p>
                    <w:p>
                      <w:pPr>
                        <w:pStyle w:val="Normal"/>
                        <w:jc w:val="center"/>
                        <w:rPr>
                          <w:sz w:val="24"/>
                          <w:szCs w:val="24"/>
                        </w:rPr>
                      </w:pPr>
                      <w:r>
                        <w:rPr>
                          <w:sz w:val="24"/>
                          <w:szCs w:val="24"/>
                        </w:rPr>
                        <w:t>Houston, Texas 77002-5007</w:t>
                      </w:r>
                    </w:p>
                    <w:p>
                      <w:pPr>
                        <w:pStyle w:val="Normal"/>
                        <w:jc w:val="center"/>
                        <w:rPr>
                          <w:sz w:val="24"/>
                          <w:szCs w:val="24"/>
                        </w:rPr>
                      </w:pPr>
                      <w:r>
                        <w:rPr>
                          <w:sz w:val="24"/>
                          <w:szCs w:val="24"/>
                        </w:rPr>
                        <w:t>(713) 276-5500</w:t>
                      </w:r>
                    </w:p>
                  </w:txbxContent>
                </v:textbox>
                <w10:wrap type="square"/>
              </v:rect>
            </w:pict>
          </mc:Fallback>
        </mc:AlternateContent>
      </w:r>
    </w:p>
    <w:p>
      <w:pPr>
        <w:sectPr>
          <w:footerReference w:type="default" r:id="rId2"/>
          <w:type w:val="nextPage"/>
          <w:pgSz w:w="12240" w:h="15840"/>
          <w:pgMar w:left="1440" w:right="1440" w:gutter="0" w:header="0" w:top="1440" w:footer="720" w:bottom="776"/>
          <w:pgNumType w:fmt="decimal"/>
          <w:formProt w:val="false"/>
          <w:textDirection w:val="lrTb"/>
        </w:sectPr>
      </w:pPr>
    </w:p>
    <w:p>
      <w:pPr>
        <w:pStyle w:val="Normal"/>
        <w:tabs>
          <w:tab w:val="clear" w:pos="720"/>
          <w:tab w:val="left" w:pos="-1080" w:leader="none"/>
          <w:tab w:val="left" w:pos="-720" w:leader="none"/>
          <w:tab w:val="left" w:pos="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4"/>
          <w:szCs w:val="24"/>
        </w:rPr>
      </w:pPr>
      <w:r>
        <w:rPr>
          <w:sz w:val="24"/>
          <w:szCs w:val="24"/>
        </w:rPr>
        <w:t>TO:</w:t>
        <w:tab/>
      </w:r>
      <w:bookmarkStart w:id="0" w:name="A1"/>
      <w:r>
        <w:rPr>
          <w:sz w:val="24"/>
          <w:szCs w:val="24"/>
        </w:rPr>
        <w:t>Messrs. Baca</w:t>
      </w:r>
      <w:bookmarkEnd w:id="0"/>
    </w:p>
    <w:p>
      <w:pPr>
        <w:pStyle w:val="Normal"/>
        <w:tabs>
          <w:tab w:val="clear" w:pos="720"/>
          <w:tab w:val="left" w:pos="-1080" w:leader="none"/>
          <w:tab w:val="left" w:pos="-720" w:leader="none"/>
          <w:tab w:val="left" w:pos="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tab/>
        <w:t xml:space="preserve"> McDaniel</w:t>
      </w:r>
    </w:p>
    <w:p>
      <w:pPr>
        <w:pStyle w:val="Normal"/>
        <w:tabs>
          <w:tab w:val="clear" w:pos="720"/>
          <w:tab w:val="left" w:pos="-1080" w:leader="none"/>
          <w:tab w:val="left" w:pos="-720" w:leader="none"/>
          <w:tab w:val="left" w:pos="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tab/>
        <w:t xml:space="preserve"> Ryerson</w:t>
      </w:r>
    </w:p>
    <w:p>
      <w:pPr>
        <w:pStyle w:val="Normal"/>
        <w:tabs>
          <w:tab w:val="clear" w:pos="720"/>
          <w:tab w:val="left" w:pos="-1080" w:leader="none"/>
          <w:tab w:val="left" w:pos="-720" w:leader="none"/>
          <w:tab w:val="left" w:pos="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tab/>
        <w:t>Van Hooser</w:t>
      </w:r>
    </w:p>
    <w:p>
      <w:pPr>
        <w:pStyle w:val="Normal"/>
        <w:tabs>
          <w:tab w:val="clear" w:pos="720"/>
          <w:tab w:val="left" w:pos="-1080" w:leader="none"/>
          <w:tab w:val="left" w:pos="-720" w:leader="none"/>
          <w:tab w:val="left" w:pos="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clear" w:pos="720"/>
          <w:tab w:val="left" w:pos="-1080" w:leader="none"/>
          <w:tab w:val="left" w:pos="-720" w:leader="none"/>
          <w:tab w:val="left" w:pos="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4"/>
          <w:szCs w:val="24"/>
        </w:rPr>
      </w:pPr>
      <w:r>
        <w:rPr>
          <w:sz w:val="24"/>
          <w:szCs w:val="24"/>
        </w:rPr>
        <w:t>FROM:</w:t>
        <w:tab/>
      </w:r>
      <w:bookmarkStart w:id="1" w:name="A2"/>
      <w:r>
        <w:rPr>
          <w:sz w:val="24"/>
          <w:szCs w:val="24"/>
        </w:rPr>
        <w:t>David Jungman</w:t>
      </w:r>
      <w:bookmarkEnd w:id="1"/>
    </w:p>
    <w:p>
      <w:pPr>
        <w:pStyle w:val="Normal"/>
        <w:tabs>
          <w:tab w:val="clear" w:pos="720"/>
          <w:tab w:val="left" w:pos="-1080" w:leader="none"/>
          <w:tab w:val="left" w:pos="-720" w:leader="none"/>
          <w:tab w:val="left" w:pos="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clear" w:pos="720"/>
          <w:tab w:val="left" w:pos="-1080" w:leader="none"/>
          <w:tab w:val="left" w:pos="-720" w:leader="none"/>
          <w:tab w:val="left" w:pos="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4"/>
          <w:szCs w:val="24"/>
        </w:rPr>
      </w:pPr>
      <w:r>
        <w:rPr>
          <w:sz w:val="24"/>
          <w:szCs w:val="24"/>
        </w:rPr>
        <w:t>DATE:</w:t>
        <w:tab/>
        <w:t>July 18, 2000</w:t>
      </w:r>
    </w:p>
    <w:p>
      <w:pPr>
        <w:pStyle w:val="Normal"/>
        <w:tabs>
          <w:tab w:val="clear" w:pos="720"/>
          <w:tab w:val="left" w:pos="-1080" w:leader="none"/>
          <w:tab w:val="left" w:pos="-720" w:leader="none"/>
          <w:tab w:val="left" w:pos="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clear" w:pos="720"/>
          <w:tab w:val="left" w:pos="-1080" w:leader="none"/>
          <w:tab w:val="left" w:pos="-720" w:leader="none"/>
          <w:tab w:val="left" w:pos="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4"/>
          <w:szCs w:val="24"/>
        </w:rPr>
      </w:pPr>
      <w:r>
        <w:rPr>
          <w:sz w:val="24"/>
          <w:szCs w:val="24"/>
        </w:rPr>
        <w:t>SUBJECT:</w:t>
        <w:tab/>
      </w:r>
      <w:bookmarkStart w:id="2" w:name="A3"/>
      <w:bookmarkEnd w:id="2"/>
      <w:r>
        <w:rPr>
          <w:sz w:val="24"/>
          <w:szCs w:val="24"/>
        </w:rPr>
        <w:t>Sale of Power Barges to Enron North America Corp.</w:t>
      </w:r>
    </w:p>
    <w:p>
      <w:pPr>
        <w:pStyle w:val="Normal"/>
        <w:tabs>
          <w:tab w:val="clear" w:pos="720"/>
          <w:tab w:val="left" w:pos="-1080" w:leader="none"/>
          <w:tab w:val="left" w:pos="-720" w:leader="none"/>
          <w:tab w:val="left" w:pos="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t>Our file 121706-001</w:t>
      </w:r>
    </w:p>
    <w:p>
      <w:pPr>
        <w:pStyle w:val="Normal"/>
        <w:tabs>
          <w:tab w:val="clear" w:pos="720"/>
          <w:tab w:val="left" w:pos="-1080" w:leader="none"/>
          <w:tab w:val="left" w:pos="-720" w:leader="none"/>
          <w:tab w:val="left" w:pos="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clear" w:pos="720"/>
          <w:tab w:val="left" w:pos="-1080" w:leader="none"/>
          <w:tab w:val="left" w:pos="-720" w:leader="none"/>
          <w:tab w:val="left" w:pos="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left" w:pos="-108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left" w:pos="-108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bookmarkStart w:id="3" w:name="BM_1_"/>
      <w:bookmarkEnd w:id="3"/>
      <w:r>
        <w:rPr>
          <w:sz w:val="24"/>
          <w:szCs w:val="24"/>
        </w:rPr>
        <w:tab/>
        <w:t xml:space="preserve">In connection with the above captioned transaction, attached please find a revised version of the Memorandum of Agreement.  The attached draft has been marked to show all changes from the draft of July 11, 2000 prepared by Steven Van Hooser, counsel to Enron North America.  </w:t>
      </w:r>
    </w:p>
    <w:p>
      <w:pPr>
        <w:pStyle w:val="Normal"/>
        <w:tabs>
          <w:tab w:val="left" w:pos="-108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left" w:pos="-108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t xml:space="preserve">The attached draft reflects discussions between Carlos Ryerson for EIPPL and Steve Van Hooser for ENA but please note that the attached draft has not been reviewed by either party and it is therefore still subject to their comments and modifications.  </w:t>
      </w:r>
    </w:p>
    <w:p>
      <w:pPr>
        <w:pStyle w:val="Normal"/>
        <w:tabs>
          <w:tab w:val="left" w:pos="-108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left" w:pos="-108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t xml:space="preserve">Please also note that several provisions of the attached MOA are shown in brackets.  This indicates that a business decision concerning this provision must be made before the MOA can be put into execution form.  </w:t>
      </w:r>
    </w:p>
    <w:p>
      <w:pPr>
        <w:pStyle w:val="Normal"/>
        <w:tabs>
          <w:tab w:val="left" w:pos="-108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left" w:pos="-108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t>Please note that I will be on vacation from July 20 through August 2.  In my absence my colleague John Gray will continue to be responsible for environmental and permitting matters while my partner Erik Heymann has agreed to take responsibility for sale and purchase and Marshall Islands registration matters.  John’s direct dial telephone number is 713/276-5599 and he can be reached through the Internet at www.jgray@gardere.com.  Erik’s direct dial telephone number is 713/276-5614 and he can be reached through the Internet at www.eheymann@gardere.com.</w:t>
      </w:r>
    </w:p>
    <w:p>
      <w:pPr>
        <w:pStyle w:val="Normal"/>
        <w:tabs>
          <w:tab w:val="left" w:pos="-108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left" w:pos="-108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t>Although I will be traveling through Central Europe on my vacation, I will leave a list of my hotels and their telephone numbers so that I can be reached in an emergency.</w:t>
      </w:r>
    </w:p>
    <w:sectPr>
      <w:type w:val="continuous"/>
      <w:pgSz w:w="12240" w:h="15840"/>
      <w:pgMar w:left="1440" w:right="1440" w:gutter="0" w:header="0" w:top="1440" w:footer="720" w:bottom="776"/>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szCs w:val="16"/>
      </w:rPr>
    </w:pPr>
    <w:r>
      <w:rPr>
        <w:sz w:val="16"/>
        <w:szCs w:val="16"/>
      </w:rPr>
      <w:t>495785.1</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memo">
    <w:name w:val="memo"/>
    <w:basedOn w:val="DefaultParagraphFont"/>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