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b/>
          <w:sz w:val="22"/>
        </w:rPr>
      </w:pP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0"/>
        </w:rPr>
      </w:pPr>
      <w:r>
        <w:rPr>
          <w:sz w:val="20"/>
        </w:rPr>
        <w:t>January 22, 2001</w:t>
      </w:r>
    </w:p>
    <w:p>
      <w:pPr>
        <w:pStyle w:val="Index1"/>
        <w:rPr>
          <w:sz w:val="20"/>
        </w:rPr>
      </w:pPr>
      <w:r>
        <w:rPr>
          <w:sz w:val="20"/>
        </w:rPr>
      </w:r>
    </w:p>
    <w:p>
      <w:pPr>
        <w:pStyle w:val="Normal"/>
        <w:keepNext w:val="true"/>
        <w:tabs>
          <w:tab w:val="clear" w:pos="720"/>
          <w:tab w:val="left" w:pos="3762" w:leader="none"/>
          <w:tab w:val="left" w:pos="4230" w:leader="none"/>
          <w:tab w:val="left" w:pos="9360" w:leader="none"/>
        </w:tabs>
        <w:spacing w:lineRule="exact" w:line="240"/>
        <w:jc w:val="both"/>
        <w:rPr>
          <w:sz w:val="20"/>
        </w:rPr>
      </w:pPr>
      <w:r>
        <w:rPr>
          <w:sz w:val="20"/>
        </w:rPr>
        <w:t>Cargill-Alliant, LLC</w:t>
      </w:r>
    </w:p>
    <w:p>
      <w:pPr>
        <w:pStyle w:val="Index1"/>
        <w:rPr/>
      </w:pPr>
      <w:r>
        <w:rPr/>
        <w:t>12700 Whitewater Drive</w:t>
      </w:r>
    </w:p>
    <w:p>
      <w:pPr>
        <w:pStyle w:val="Normal"/>
        <w:rPr>
          <w:sz w:val="20"/>
        </w:rPr>
      </w:pPr>
      <w:r>
        <w:rPr>
          <w:sz w:val="20"/>
        </w:rPr>
        <w:t>Minnetonka, MN 55343-9439</w:t>
      </w:r>
    </w:p>
    <w:p>
      <w:pPr>
        <w:pStyle w:val="Normal"/>
        <w:rPr>
          <w:sz w:val="20"/>
        </w:rPr>
      </w:pPr>
      <w:r>
        <w:rPr>
          <w:sz w:val="20"/>
        </w:rPr>
        <w:t>Attention:  Mara Alexander</w:t>
      </w:r>
    </w:p>
    <w:p>
      <w:pPr>
        <w:pStyle w:val="Normal"/>
        <w:rPr>
          <w:sz w:val="20"/>
        </w:rPr>
      </w:pPr>
      <w:r>
        <w:rPr>
          <w:sz w:val="20"/>
        </w:rPr>
      </w:r>
    </w:p>
    <w:p>
      <w:pPr>
        <w:pStyle w:val="Normal"/>
        <w:rPr>
          <w:sz w:val="20"/>
        </w:rPr>
      </w:pPr>
      <w:r>
        <w:rPr>
          <w:sz w:val="20"/>
        </w:rPr>
        <w:t>Fax No.:  (952) 984-3763</w:t>
      </w:r>
    </w:p>
    <w:p>
      <w:pPr>
        <w:pStyle w:val="Index1"/>
        <w:rPr>
          <w:sz w:val="20"/>
        </w:rPr>
      </w:pPr>
      <w:r>
        <w:rPr>
          <w:sz w:val="20"/>
        </w:rPr>
      </w:r>
    </w:p>
    <w:p>
      <w:pPr>
        <w:pStyle w:val="Normal"/>
        <w:rPr>
          <w:sz w:val="20"/>
        </w:rPr>
      </w:pPr>
      <w:r>
        <w:rPr>
          <w:sz w:val="20"/>
        </w:rPr>
        <w:t>Re:</w:t>
        <w:tab/>
        <w:t>TRANSACTION ENA Contract No. 495432.01</w:t>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Normal"/>
        <w:jc w:val="both"/>
        <w:rPr>
          <w:sz w:val="20"/>
        </w:rPr>
      </w:pPr>
      <w:r>
        <w:rPr>
          <w:sz w:val="20"/>
        </w:rPr>
        <w:t>The purpose of this document is to confirm the terms and conditions of the transaction entered into between Cargill-Allliant, LLC (“Counterparty”) and Enron North America Corp. (“ENA”) on January 11,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January 11, 2001 between Rob Stalford of ENA and Mara Alexander of Counterparty.</w:t>
      </w:r>
    </w:p>
    <w:p>
      <w:pPr>
        <w:pStyle w:val="Normal"/>
        <w:jc w:val="both"/>
        <w:rPr>
          <w:sz w:val="20"/>
        </w:rPr>
      </w:pPr>
      <w:r>
        <w:rPr>
          <w:sz w:val="20"/>
        </w:rPr>
      </w:r>
    </w:p>
    <w:p>
      <w:pPr>
        <w:pStyle w:val="BodyText"/>
        <w:rPr>
          <w:rFonts w:ascii="Times New Roman" w:hAnsi="Times New Roman" w:cs="Times New Roman"/>
          <w:sz w:val="20"/>
        </w:rPr>
      </w:pPr>
      <w:r>
        <w:rPr>
          <w:rFonts w:cs="Times New Roman" w:ascii="Times New Roman" w:hAnsi="Times New Roman"/>
          <w:sz w:val="20"/>
        </w:rPr>
        <w:t>1.</w:t>
        <w:tab/>
        <w:t>The definitions and provisions contained in the 1991 ISDA Definitions and the 1993 ISDA Commodity Derivatives Definitions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rFonts w:ascii="Times New Roman" w:hAnsi="Times New Roman" w:cs="Times New Roman"/>
          <w:sz w:val="20"/>
        </w:rPr>
      </w:pPr>
      <w:r>
        <w:rPr>
          <w:rFonts w:cs="Times New Roman"/>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jc w:val="both"/>
        <w:rPr>
          <w:sz w:val="20"/>
        </w:rPr>
      </w:pPr>
      <w:r>
        <w:rPr>
          <w:sz w:val="20"/>
        </w:rPr>
      </w:r>
    </w:p>
    <w:p>
      <w:pPr>
        <w:pStyle w:val="Normal"/>
        <w:jc w:val="both"/>
        <w:rPr>
          <w:sz w:val="20"/>
        </w:rPr>
      </w:pPr>
      <w:r>
        <w:rPr>
          <w:sz w:val="20"/>
        </w:rPr>
        <w:t>Terms to be supplied by ENA Confirmation Desk</w:t>
      </w:r>
    </w:p>
    <w:p>
      <w:pPr>
        <w:pStyle w:val="Normal"/>
        <w:rPr>
          <w:sz w:val="20"/>
        </w:rPr>
      </w:pPr>
      <w:r>
        <w:rPr>
          <w:sz w:val="20"/>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Eligible Swap Participant</w:t>
      </w:r>
      <w:r>
        <w:rPr>
          <w:sz w:val="20"/>
        </w:rPr>
        <w:t xml:space="preserve">:  it constitutes an “eligible swap participant” as such term is defined in  17 C.F.R. Section 35.1(b)(2) and this Confirmation constitutes a “swap agreement” within the meaning of 17 C.F.R. Section 35.1(b)(1);  and (c) </w:t>
      </w:r>
      <w:r>
        <w:rPr>
          <w:sz w:val="20"/>
          <w:u w:val="single"/>
        </w:rPr>
        <w:t>Line of Business</w:t>
      </w:r>
      <w:r>
        <w:rPr>
          <w:sz w:val="20"/>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New York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0"/>
        </w:rPr>
      </w:pPr>
      <w:r>
        <w:rPr>
          <w:sz w:val="20"/>
        </w:rPr>
      </w:r>
    </w:p>
    <w:p>
      <w:pPr>
        <w:pStyle w:val="Normal"/>
        <w:jc w:val="both"/>
        <w:rPr/>
      </w:pPr>
      <w:r>
        <w:rPr>
          <w:sz w:val="20"/>
        </w:rPr>
        <w:t>12.</w:t>
        <w:tab/>
      </w:r>
      <w:r>
        <w:rPr>
          <w:b/>
          <w:sz w:val="20"/>
          <w:u w:val="single"/>
        </w:rPr>
        <w:t>Additional Provisions For Commodity Derivatives Transactions</w:t>
      </w:r>
      <w:r>
        <w:rPr>
          <w:b/>
          <w:sz w:val="20"/>
        </w:rPr>
        <w:t>.</w:t>
      </w:r>
    </w:p>
    <w:p>
      <w:pPr>
        <w:pStyle w:val="Justified"/>
        <w:tabs>
          <w:tab w:val="clear" w:pos="720"/>
          <w:tab w:val="left" w:pos="1350" w:leader="none"/>
        </w:tabs>
        <w:spacing w:before="0" w:after="0"/>
        <w:rPr>
          <w:rFonts w:ascii="Times New Roman" w:hAnsi="Times New Roman" w:cs="Times New Roman"/>
          <w:b/>
          <w:sz w:val="20"/>
        </w:rPr>
      </w:pPr>
      <w:r>
        <w:rPr>
          <w:rFonts w:cs="Times New Roman" w:ascii="Times New Roman" w:hAnsi="Times New Roman"/>
          <w:b/>
          <w:sz w:val="20"/>
        </w:rPr>
      </w:r>
    </w:p>
    <w:p>
      <w:pPr>
        <w:pStyle w:val="Normal"/>
        <w:ind w:firstLine="720" w:end="0"/>
        <w:jc w:val="both"/>
        <w:rPr>
          <w:sz w:val="20"/>
        </w:rPr>
      </w:pPr>
      <w:r>
        <w:rPr>
          <w:sz w:val="20"/>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Paragraph 12 that are not otherwise defined shall have the meanings given to them in the Commodity Definitions.</w:t>
      </w:r>
    </w:p>
    <w:p>
      <w:pPr>
        <w:pStyle w:val="Normal"/>
        <w:ind w:firstLine="720" w:end="0"/>
        <w:jc w:val="both"/>
        <w:rPr>
          <w:sz w:val="20"/>
        </w:rPr>
      </w:pPr>
      <w:r>
        <w:rPr>
          <w:sz w:val="20"/>
        </w:rPr>
      </w:r>
    </w:p>
    <w:p>
      <w:pPr>
        <w:pStyle w:val="Normal"/>
        <w:ind w:firstLine="720" w:end="0"/>
        <w:jc w:val="both"/>
        <w:rPr>
          <w:sz w:val="20"/>
        </w:rPr>
      </w:pPr>
      <w:r>
        <w:rPr>
          <w:sz w:val="20"/>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0"/>
        </w:rPr>
      </w:pPr>
      <w:r>
        <w:rPr>
          <w:sz w:val="20"/>
        </w:rPr>
      </w:r>
    </w:p>
    <w:p>
      <w:pPr>
        <w:pStyle w:val="BodyTextIndent"/>
        <w:rPr/>
      </w:pPr>
      <w:r>
        <w:rPr/>
        <w:t>(c)</w:t>
        <w:tab/>
        <w:t>Section 7.4(c)(viii) of the Commodity Definitions is hereby amended by the addition of the following at the  end thereof:</w:t>
      </w:r>
    </w:p>
    <w:p>
      <w:pPr>
        <w:pStyle w:val="Normal"/>
        <w:ind w:firstLine="720" w:end="0"/>
        <w:jc w:val="both"/>
        <w:rPr>
          <w:sz w:val="20"/>
        </w:rPr>
      </w:pPr>
      <w:r>
        <w:rPr>
          <w:sz w:val="20"/>
        </w:rPr>
      </w:r>
    </w:p>
    <w:p>
      <w:pPr>
        <w:pStyle w:val="Normal"/>
        <w:ind w:firstLine="720" w:start="720" w:end="0"/>
        <w:jc w:val="both"/>
        <w:rPr>
          <w:sz w:val="20"/>
        </w:rPr>
      </w:pPr>
      <w:r>
        <w:rPr>
          <w:sz w:val="20"/>
        </w:rPr>
        <w:t>“</w:t>
      </w:r>
      <w:r>
        <w:rPr>
          <w:sz w:val="20"/>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0"/>
        </w:rPr>
      </w:pPr>
      <w:r>
        <w:rPr>
          <w:sz w:val="20"/>
        </w:rPr>
      </w:r>
    </w:p>
    <w:p>
      <w:pPr>
        <w:pStyle w:val="Normal"/>
        <w:ind w:firstLine="720" w:end="0"/>
        <w:jc w:val="both"/>
        <w:rPr>
          <w:sz w:val="20"/>
        </w:rPr>
      </w:pPr>
      <w:r>
        <w:rPr>
          <w:sz w:val="20"/>
        </w:rPr>
        <w:t>(d)</w:t>
        <w:tab/>
        <w:t>Section 7.5(e) of the Commodity Definitions is hereby deleted.</w:t>
      </w:r>
    </w:p>
    <w:p>
      <w:pPr>
        <w:pStyle w:val="Normal"/>
        <w:ind w:firstLine="720" w:end="0"/>
        <w:jc w:val="both"/>
        <w:rPr>
          <w:sz w:val="20"/>
        </w:rPr>
      </w:pPr>
      <w:r>
        <w:rPr>
          <w:sz w:val="20"/>
        </w:rPr>
      </w:r>
    </w:p>
    <w:p>
      <w:pPr>
        <w:pStyle w:val="Normal"/>
        <w:ind w:firstLine="720" w:end="0"/>
        <w:jc w:val="both"/>
        <w:rPr>
          <w:sz w:val="20"/>
        </w:rPr>
      </w:pPr>
      <w:r>
        <w:rPr>
          <w:sz w:val="20"/>
        </w:rPr>
        <w:t>(e)</w:t>
        <w:tab/>
        <w:t>“Additional Market Disruption Events” shall apply only if so specified in the relevant Confirmation.</w:t>
      </w:r>
    </w:p>
    <w:p>
      <w:pPr>
        <w:pStyle w:val="Normal"/>
        <w:ind w:firstLine="720" w:end="0"/>
        <w:jc w:val="both"/>
        <w:rPr>
          <w:sz w:val="20"/>
        </w:rPr>
      </w:pPr>
      <w:r>
        <w:rPr>
          <w:sz w:val="20"/>
        </w:rPr>
      </w:r>
    </w:p>
    <w:p>
      <w:pPr>
        <w:pStyle w:val="BodyTextIndent2"/>
        <w:rPr>
          <w:sz w:val="20"/>
        </w:rPr>
      </w:pPr>
      <w:r>
        <w:rPr>
          <w:sz w:val="20"/>
        </w:rPr>
        <w:t>(f)</w:t>
        <w:tab/>
        <w:tab/>
        <w:t>The following “Disruption Fallbacks” specified in Section 7.5(c) of the Commodity Definitions shall apply, in the following order, except as otherwise specified in the relevant Confirmation:</w:t>
      </w:r>
    </w:p>
    <w:p>
      <w:pPr>
        <w:pStyle w:val="Normal"/>
        <w:jc w:val="both"/>
        <w:rPr>
          <w:sz w:val="20"/>
        </w:rPr>
      </w:pPr>
      <w:r>
        <w:rPr>
          <w:sz w:val="20"/>
        </w:rPr>
      </w:r>
    </w:p>
    <w:p>
      <w:pPr>
        <w:pStyle w:val="BlockText"/>
        <w:ind w:hanging="720" w:start="1440" w:end="720"/>
        <w:rPr>
          <w:sz w:val="20"/>
        </w:rPr>
      </w:pPr>
      <w:r>
        <w:rPr>
          <w:sz w:val="20"/>
        </w:rPr>
        <w:t>(i)</w:t>
        <w:tab/>
        <w:t>“Postponement”, with three (3) Commodity Business Days as the Maximum Days of Disruption;</w:t>
      </w:r>
    </w:p>
    <w:p>
      <w:pPr>
        <w:pStyle w:val="Normal"/>
        <w:ind w:hanging="720" w:start="1440" w:end="720"/>
        <w:jc w:val="both"/>
        <w:rPr>
          <w:sz w:val="20"/>
        </w:rPr>
      </w:pPr>
      <w:r>
        <w:rPr>
          <w:sz w:val="20"/>
        </w:rPr>
      </w:r>
    </w:p>
    <w:p>
      <w:pPr>
        <w:pStyle w:val="BlockText"/>
        <w:ind w:hanging="720" w:start="1440" w:end="720"/>
        <w:rPr>
          <w:sz w:val="20"/>
        </w:rPr>
      </w:pPr>
      <w:r>
        <w:rPr>
          <w:sz w:val="20"/>
        </w:rPr>
        <w:t>(ii)</w:t>
        <w:tab/>
        <w:t>“Fallback Reference Price” (if the relevant parties have specified an alternate Commodity Reference Price in the Confirmation);</w:t>
      </w:r>
    </w:p>
    <w:p>
      <w:pPr>
        <w:pStyle w:val="Normal"/>
        <w:ind w:hanging="720" w:start="1440" w:end="720"/>
        <w:jc w:val="both"/>
        <w:rPr>
          <w:sz w:val="20"/>
        </w:rPr>
      </w:pPr>
      <w:r>
        <w:rPr>
          <w:sz w:val="20"/>
        </w:rPr>
      </w:r>
    </w:p>
    <w:p>
      <w:pPr>
        <w:pStyle w:val="BlockText"/>
        <w:ind w:hanging="720" w:start="1440" w:end="720"/>
        <w:rPr>
          <w:sz w:val="20"/>
        </w:rPr>
      </w:pPr>
      <w:r>
        <w:rPr>
          <w:sz w:val="20"/>
        </w:rPr>
        <w:t>(iii)</w:t>
        <w:tab/>
        <w:t>“Negotiated Fallback” (provided that the reference in Section 7.5(c)(ii) to “fifth Business Day” shall be amended to be “twelfth Business Day”); and</w:t>
      </w:r>
    </w:p>
    <w:p>
      <w:pPr>
        <w:pStyle w:val="Normal"/>
        <w:ind w:hanging="720" w:start="1440" w:end="720"/>
        <w:jc w:val="both"/>
        <w:rPr>
          <w:sz w:val="20"/>
        </w:rPr>
      </w:pPr>
      <w:r>
        <w:rPr>
          <w:sz w:val="20"/>
        </w:rPr>
      </w:r>
    </w:p>
    <w:p>
      <w:pPr>
        <w:pStyle w:val="Normal"/>
        <w:ind w:hanging="720" w:start="1440" w:end="0"/>
        <w:jc w:val="both"/>
        <w:rPr>
          <w:sz w:val="20"/>
        </w:rPr>
      </w:pPr>
      <w:r>
        <w:rPr>
          <w:sz w:val="20"/>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sz w:val="20"/>
        </w:rPr>
      </w:pPr>
      <w:r>
        <w:rPr>
          <w:sz w:val="20"/>
        </w:rPr>
        <w:t>13.</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Index1"/>
        <w:rPr/>
      </w:pPr>
      <w:r>
        <w:rPr/>
        <w:tab/>
        <w:t>(b)</w:t>
        <w:tab/>
        <w:t>The office of Counterparty is and copies of any notices should be delivered to: Cargill-Alliant, LLC, 12700 Whitewater Drive, Minnetonka, MN 55343-9439, Attention:  Mara Alexander, Facsimile No.: (952) 984-3763.</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BodyText"/>
        <w:rPr>
          <w:rFonts w:ascii="Times New Roman" w:hAnsi="Times New Roman" w:cs="Times New Roman"/>
          <w:sz w:val="20"/>
        </w:rPr>
      </w:pPr>
      <w:r>
        <w:rPr>
          <w:rFonts w:cs="Times New Roman" w:ascii="Times New Roman" w:hAnsi="Times New Roman"/>
          <w:sz w:val="20"/>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Normal"/>
        <w:jc w:val="both"/>
        <w:rPr>
          <w:sz w:val="20"/>
        </w:rPr>
      </w:pPr>
      <w:r>
        <w:rPr>
          <w:sz w:val="20"/>
        </w:rPr>
        <w:t>Yours Sincerely,</w:t>
      </w:r>
    </w:p>
    <w:p>
      <w:pPr>
        <w:pStyle w:val="Normal"/>
        <w:jc w:val="both"/>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jc w:val="both"/>
              <w:rPr>
                <w:sz w:val="20"/>
              </w:rPr>
            </w:pPr>
            <w:r>
              <w:rPr>
                <w:sz w:val="20"/>
              </w:rPr>
              <w:fldChar w:fldCharType="begin"/>
            </w:r>
            <w:r>
              <w:rPr>
                <w:sz w:val="20"/>
              </w:rPr>
              <w:instrText xml:space="preserve"> MERGEFIELD EnronEntityName </w:instrText>
            </w:r>
            <w:r>
              <w:rPr>
                <w:sz w:val="20"/>
              </w:rPr>
              <w:fldChar w:fldCharType="separate"/>
            </w:r>
            <w:r>
              <w:rPr>
                <w:sz w:val="20"/>
              </w:rPr>
              <w:t>Enron North America Corp.</w:t>
            </w:r>
            <w:r>
              <w:rPr>
                <w:sz w:val="20"/>
              </w:rPr>
              <w:fldChar w:fldCharType="end"/>
            </w:r>
          </w:p>
        </w:tc>
        <w:tc>
          <w:tcPr>
            <w:tcW w:w="6012" w:type="dxa"/>
            <w:tcBorders/>
          </w:tcPr>
          <w:p>
            <w:pPr>
              <w:pStyle w:val="Normal"/>
              <w:jc w:val="both"/>
              <w:rPr>
                <w:sz w:val="20"/>
              </w:rPr>
            </w:pPr>
            <w:r>
              <w:rPr>
                <w:sz w:val="20"/>
              </w:rPr>
              <w:fldChar w:fldCharType="begin"/>
            </w:r>
            <w:r>
              <w:rPr>
                <w:sz w:val="20"/>
              </w:rPr>
              <w:instrText xml:space="preserve"> MERGEFIELD CounterpartyName </w:instrText>
            </w:r>
            <w:r>
              <w:rPr>
                <w:sz w:val="20"/>
              </w:rPr>
              <w:fldChar w:fldCharType="separate"/>
            </w:r>
            <w:r>
              <w:rPr>
                <w:sz w:val="20"/>
              </w:rPr>
              <w:t>Cargill-Alliant, LLC</w:t>
            </w:r>
            <w:r>
              <w:rPr>
                <w:sz w:val="20"/>
              </w:rPr>
              <w:fldChar w:fldCharType="end"/>
            </w:r>
          </w:p>
        </w:tc>
      </w:tr>
    </w:tbl>
    <w:p>
      <w:pPr>
        <w:pStyle w:val="Normal"/>
        <w:jc w:val="both"/>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jc w:val="both"/>
              <w:rPr>
                <w:sz w:val="20"/>
              </w:rPr>
            </w:pPr>
            <w:r>
              <w:rPr>
                <w:sz w:val="20"/>
              </w:rPr>
              <w:t xml:space="preserve">             </w:t>
            </w:r>
            <w:r>
              <w:rPr>
                <w:sz w:val="20"/>
              </w:rPr>
              <w:fldChar w:fldCharType="begin"/>
            </w:r>
            <w:r>
              <w:rPr>
                <w:sz w:val="20"/>
              </w:rPr>
              <w:instrText xml:space="preserve"> MERGEFIELD SignatureGoesHere </w:instrText>
            </w:r>
            <w:r>
              <w:rPr>
                <w:sz w:val="20"/>
              </w:rPr>
              <w:fldChar w:fldCharType="separate"/>
            </w:r>
            <w:r>
              <w:rPr>
                <w:sz w:val="20"/>
              </w:rPr>
              <w:t>«SignatureGoesHere»</w:t>
            </w:r>
            <w:r>
              <w:rPr>
                <w:sz w:val="20"/>
              </w:rPr>
              <w:fldChar w:fldCharType="end"/>
            </w:r>
          </w:p>
        </w:tc>
        <w:tc>
          <w:tcPr>
            <w:tcW w:w="6012" w:type="dxa"/>
            <w:tcBorders/>
          </w:tcPr>
          <w:p>
            <w:pPr>
              <w:pStyle w:val="Normal"/>
              <w:snapToGrid w:val="false"/>
              <w:jc w:val="both"/>
              <w:rPr>
                <w:sz w:val="20"/>
              </w:rPr>
            </w:pPr>
            <w:r>
              <w:rPr>
                <w:sz w:val="20"/>
              </w:rPr>
            </w:r>
          </w:p>
        </w:tc>
      </w:tr>
      <w:tr>
        <w:trPr/>
        <w:tc>
          <w:tcPr>
            <w:tcW w:w="4428" w:type="dxa"/>
            <w:tcBorders/>
          </w:tcPr>
          <w:p>
            <w:pPr>
              <w:pStyle w:val="Normal"/>
              <w:jc w:val="both"/>
              <w:rPr>
                <w:sz w:val="20"/>
              </w:rPr>
            </w:pPr>
            <w:r>
              <w:rPr>
                <w:sz w:val="20"/>
              </w:rPr>
              <w:t>By:</w:t>
            </w:r>
          </w:p>
        </w:tc>
        <w:tc>
          <w:tcPr>
            <w:tcW w:w="6012" w:type="dxa"/>
            <w:tcBorders/>
          </w:tcPr>
          <w:p>
            <w:pPr>
              <w:pStyle w:val="Normal"/>
              <w:jc w:val="both"/>
              <w:rPr>
                <w:sz w:val="20"/>
              </w:rPr>
            </w:pPr>
            <w:r>
              <w:rPr>
                <w:sz w:val="20"/>
              </w:rPr>
              <w:t>By: ____________________________</w:t>
            </w:r>
          </w:p>
        </w:tc>
      </w:tr>
      <w:tr>
        <w:trPr/>
        <w:tc>
          <w:tcPr>
            <w:tcW w:w="4428" w:type="dxa"/>
            <w:tcBorders/>
          </w:tcPr>
          <w:p>
            <w:pPr>
              <w:pStyle w:val="Normal"/>
              <w:jc w:val="both"/>
              <w:rPr>
                <w:sz w:val="20"/>
              </w:rPr>
            </w:pPr>
            <w:r>
              <w:rPr>
                <w:sz w:val="20"/>
              </w:rPr>
              <w:t xml:space="preserve">Name:  </w:t>
            </w:r>
            <w:r>
              <w:rPr>
                <w:sz w:val="20"/>
              </w:rPr>
              <w:fldChar w:fldCharType="begin"/>
            </w:r>
            <w:r>
              <w:rPr>
                <w:sz w:val="20"/>
              </w:rPr>
              <w:instrText xml:space="preserve"> MERGEFIELD SignerName </w:instrText>
            </w:r>
            <w:r>
              <w:rPr>
                <w:sz w:val="20"/>
              </w:rPr>
              <w:fldChar w:fldCharType="separate"/>
            </w:r>
            <w:r>
              <w:rPr>
                <w:sz w:val="20"/>
              </w:rPr>
              <w:t>M.D. Davis, Jr.</w:t>
            </w:r>
            <w:r>
              <w:rPr>
                <w:sz w:val="20"/>
              </w:rPr>
              <w:fldChar w:fldCharType="end"/>
            </w:r>
          </w:p>
        </w:tc>
        <w:tc>
          <w:tcPr>
            <w:tcW w:w="6012" w:type="dxa"/>
            <w:tcBorders/>
          </w:tcPr>
          <w:p>
            <w:pPr>
              <w:pStyle w:val="Normal"/>
              <w:jc w:val="both"/>
              <w:rPr>
                <w:sz w:val="20"/>
              </w:rPr>
            </w:pPr>
            <w:r>
              <w:rPr>
                <w:sz w:val="20"/>
              </w:rPr>
              <w:t>Name:  _________________________</w:t>
            </w:r>
          </w:p>
        </w:tc>
      </w:tr>
      <w:tr>
        <w:trPr/>
        <w:tc>
          <w:tcPr>
            <w:tcW w:w="4428" w:type="dxa"/>
            <w:tcBorders/>
          </w:tcPr>
          <w:p>
            <w:pPr>
              <w:pStyle w:val="Normal"/>
              <w:jc w:val="both"/>
              <w:rPr>
                <w:sz w:val="20"/>
              </w:rPr>
            </w:pPr>
            <w:r>
              <w:rPr>
                <w:sz w:val="20"/>
              </w:rPr>
              <w:t xml:space="preserve">Title:    </w:t>
            </w:r>
            <w:r>
              <w:rPr>
                <w:sz w:val="20"/>
              </w:rPr>
              <w:fldChar w:fldCharType="begin"/>
            </w:r>
            <w:r>
              <w:rPr>
                <w:sz w:val="20"/>
              </w:rPr>
              <w:instrText xml:space="preserve"> MERGEFIELD SignerTitle </w:instrText>
            </w:r>
            <w:r>
              <w:rPr>
                <w:sz w:val="20"/>
              </w:rPr>
              <w:fldChar w:fldCharType="separate"/>
            </w:r>
            <w:r>
              <w:rPr>
                <w:sz w:val="20"/>
              </w:rPr>
              <w:t>Vice President</w:t>
            </w:r>
            <w:r>
              <w:rPr>
                <w:sz w:val="20"/>
              </w:rPr>
              <w:fldChar w:fldCharType="end"/>
            </w:r>
          </w:p>
        </w:tc>
        <w:tc>
          <w:tcPr>
            <w:tcW w:w="6012" w:type="dxa"/>
            <w:tcBorders/>
          </w:tcPr>
          <w:p>
            <w:pPr>
              <w:pStyle w:val="Normal"/>
              <w:jc w:val="both"/>
              <w:rPr>
                <w:sz w:val="20"/>
              </w:rPr>
            </w:pPr>
            <w:r>
              <w:rPr>
                <w:sz w:val="20"/>
              </w:rPr>
              <w:t>Title:  __________________________</w:t>
            </w:r>
          </w:p>
        </w:tc>
      </w:tr>
      <w:tr>
        <w:trPr/>
        <w:tc>
          <w:tcPr>
            <w:tcW w:w="4428" w:type="dxa"/>
            <w:tcBorders/>
          </w:tcPr>
          <w:p>
            <w:pPr>
              <w:pStyle w:val="Normal"/>
              <w:jc w:val="both"/>
              <w:rPr>
                <w:sz w:val="20"/>
              </w:rPr>
            </w:pPr>
            <w:r>
              <w:rPr>
                <w:sz w:val="20"/>
              </w:rPr>
              <w:t xml:space="preserve">Date:    </w:t>
            </w:r>
            <w:r>
              <w:rPr>
                <w:sz w:val="20"/>
              </w:rPr>
              <w:fldChar w:fldCharType="begin"/>
            </w:r>
            <w:r>
              <w:rPr>
                <w:sz w:val="20"/>
              </w:rPr>
              <w:instrText xml:space="preserve"> MERGEFIELD DateToday </w:instrText>
            </w:r>
            <w:r>
              <w:rPr>
                <w:sz w:val="20"/>
              </w:rPr>
              <w:fldChar w:fldCharType="separate"/>
            </w:r>
            <w:r>
              <w:rPr>
                <w:sz w:val="20"/>
              </w:rPr>
              <w:t>January 22, 2001</w:t>
            </w:r>
            <w:r>
              <w:rPr>
                <w:sz w:val="20"/>
              </w:rPr>
              <w:fldChar w:fldCharType="end"/>
            </w:r>
          </w:p>
        </w:tc>
        <w:tc>
          <w:tcPr>
            <w:tcW w:w="6012" w:type="dxa"/>
            <w:tcBorders/>
          </w:tcPr>
          <w:p>
            <w:pPr>
              <w:pStyle w:val="Normal"/>
              <w:jc w:val="both"/>
              <w:rPr>
                <w:sz w:val="20"/>
              </w:rPr>
            </w:pPr>
            <w:r>
              <w:rPr>
                <w:sz w:val="20"/>
              </w:rPr>
              <w:t>Date:  __________________________</w:t>
            </w:r>
          </w:p>
        </w:tc>
      </w:tr>
    </w:tbl>
    <w:p>
      <w:pPr>
        <w:pStyle w:val="Normal"/>
        <w:jc w:val="both"/>
        <w:rPr>
          <w:sz w:val="20"/>
        </w:rPr>
      </w:pPr>
      <w:r>
        <w:rPr>
          <w:sz w:val="20"/>
        </w:rPr>
      </w:r>
    </w:p>
    <w:p>
      <w:pPr>
        <w:pStyle w:val="Normal"/>
        <w:jc w:val="both"/>
        <w:rPr>
          <w:sz w:val="20"/>
        </w:rPr>
      </w:pPr>
      <w:r>
        <w:rPr>
          <w:sz w:val="20"/>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t>495432.01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u w:val="single"/>
      <w:lang w:eastAsia="en-US"/>
    </w:rPr>
  </w:style>
  <w:style w:type="paragraph" w:styleId="Heading2">
    <w:name w:val="heading 2"/>
    <w:basedOn w:val="Normal"/>
    <w:next w:val="Normal"/>
    <w:qFormat/>
    <w:pPr>
      <w:keepNext w:val="true"/>
      <w:numPr>
        <w:ilvl w:val="1"/>
        <w:numId w:val="1"/>
      </w:numPr>
      <w:jc w:val="center"/>
      <w:outlineLvl w:val="1"/>
    </w:pPr>
    <w:rPr>
      <w:b/>
      <w:sz w:val="22"/>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5">
    <w:name w:val="heading 5"/>
    <w:basedOn w:val="Normal"/>
    <w:next w:val="Normal"/>
    <w:qFormat/>
    <w:pPr>
      <w:keepNext w:val="true"/>
      <w:numPr>
        <w:ilvl w:val="4"/>
        <w:numId w:val="1"/>
      </w:numPr>
      <w:jc w:val="center"/>
      <w:outlineLvl w:val="4"/>
    </w:pPr>
    <w:rPr>
      <w:b/>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Index1">
    <w:name w:val="index 1"/>
    <w:basedOn w:val="Normal"/>
    <w:next w:val="Normal"/>
    <w:pPr/>
    <w:rPr>
      <w:sz w:val="20"/>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lockText">
    <w:name w:val="Block Text"/>
    <w:basedOn w:val="Normal"/>
    <w:qFormat/>
    <w:pPr>
      <w:ind w:firstLine="720" w:start="720" w:end="720"/>
      <w:jc w:val="both"/>
    </w:pPr>
    <w:rPr>
      <w:sz w:val="22"/>
    </w:rPr>
  </w:style>
  <w:style w:type="paragraph" w:styleId="BodyTextIndent">
    <w:name w:val="Body Text Indent"/>
    <w:basedOn w:val="Normal"/>
    <w:pPr>
      <w:ind w:firstLine="720" w:start="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2001-01-22T19:48:00Z</dcterms:created>
  <dc:creator>ECT</dc:creator>
  <dc:description/>
  <dc:language>en-CA</dc:language>
  <cp:lastModifiedBy>khundl</cp:lastModifiedBy>
  <dcterms:modified xsi:type="dcterms:W3CDTF">2001-01-22T19:48:00Z</dcterms:modified>
  <cp:revision>2</cp:revision>
  <dc:subject/>
  <dc:title>495432.01</dc:title>
</cp:coreProperties>
</file>