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June 1, 2001</w:t>
      </w:r>
    </w:p>
    <w:p>
      <w:pPr>
        <w:pStyle w:val="Normal"/>
        <w:jc w:val="center"/>
        <w:rPr/>
      </w:pPr>
      <w:r>
        <w:rPr/>
      </w:r>
    </w:p>
    <w:p>
      <w:pPr>
        <w:pStyle w:val="Normal"/>
        <w:jc w:val="center"/>
        <w:rPr/>
      </w:pPr>
      <w:r>
        <w:rPr/>
      </w:r>
    </w:p>
    <w:p>
      <w:pPr>
        <w:pStyle w:val="Normal"/>
        <w:jc w:val="center"/>
        <w:rPr/>
      </w:pPr>
      <w:r>
        <w:rPr/>
      </w:r>
    </w:p>
    <w:p>
      <w:pPr>
        <w:pStyle w:val="Normal"/>
        <w:jc w:val="both"/>
        <w:rPr/>
      </w:pPr>
      <w:r>
        <w:rPr/>
        <w:t>Mr. Paul Loeb</w:t>
      </w:r>
    </w:p>
    <w:p>
      <w:pPr>
        <w:pStyle w:val="Normal"/>
        <w:jc w:val="both"/>
        <w:rPr/>
      </w:pPr>
      <w:r>
        <w:rPr/>
        <w:t>C.H. Robinson Worldwide, Inc.</w:t>
      </w:r>
    </w:p>
    <w:p>
      <w:pPr>
        <w:pStyle w:val="Normal"/>
        <w:jc w:val="both"/>
        <w:rPr/>
      </w:pPr>
      <w:r>
        <w:rPr/>
        <w:t>1400 North Dayton Street</w:t>
      </w:r>
    </w:p>
    <w:p>
      <w:pPr>
        <w:pStyle w:val="Normal"/>
        <w:jc w:val="both"/>
        <w:rPr/>
      </w:pPr>
      <w:r>
        <w:rPr/>
        <w:t>Chicago, Illinois 60622</w:t>
      </w:r>
    </w:p>
    <w:p>
      <w:pPr>
        <w:pStyle w:val="Normal"/>
        <w:jc w:val="both"/>
        <w:rPr/>
      </w:pPr>
      <w:r>
        <w:rPr/>
      </w:r>
    </w:p>
    <w:p>
      <w:pPr>
        <w:pStyle w:val="Normal"/>
        <w:jc w:val="both"/>
        <w:rPr/>
      </w:pPr>
      <w:r>
        <w:rPr/>
        <w:tab/>
        <w:t>Re:</w:t>
        <w:tab/>
        <w:t>John A. Ashman</w:t>
      </w:r>
    </w:p>
    <w:p>
      <w:pPr>
        <w:pStyle w:val="Normal"/>
        <w:jc w:val="both"/>
        <w:rPr/>
      </w:pPr>
      <w:r>
        <w:rPr/>
      </w:r>
    </w:p>
    <w:p>
      <w:pPr>
        <w:pStyle w:val="Normal"/>
        <w:jc w:val="both"/>
        <w:rPr/>
      </w:pPr>
      <w:r>
        <w:rPr/>
        <w:t>Dear Mr. Loeb:</w:t>
      </w:r>
    </w:p>
    <w:p>
      <w:pPr>
        <w:pStyle w:val="Normal"/>
        <w:jc w:val="both"/>
        <w:rPr/>
      </w:pPr>
      <w:r>
        <w:rPr/>
      </w:r>
    </w:p>
    <w:p>
      <w:pPr>
        <w:pStyle w:val="Normal"/>
        <w:jc w:val="both"/>
        <w:rPr/>
      </w:pPr>
      <w:r>
        <w:rPr/>
        <w:t>As you may be aware, Enron Global Markets LLC (“EGM”) recently hired John Ashman, a former employee of C.H. Robinson Worldwide, Inc. (“Robinson”), to work in its Houston office.  Upon his hire, Mr. Ashman presented EGM with a copy of a document entitled “Affidavit of John Ashman” and informed EGM of the statements that he made in that Affidavit.</w:t>
      </w:r>
    </w:p>
    <w:p>
      <w:pPr>
        <w:pStyle w:val="Normal"/>
        <w:jc w:val="both"/>
        <w:rPr/>
      </w:pPr>
      <w:r>
        <w:rPr/>
      </w:r>
    </w:p>
    <w:p>
      <w:pPr>
        <w:pStyle w:val="Normal"/>
        <w:jc w:val="both"/>
        <w:rPr/>
      </w:pPr>
      <w:r>
        <w:rPr/>
        <w:t>EGM intends for Mr. Ashman to honor the terms of the Affidavit and has instructed him, as an EGM employee, not to take any action that would be inconsistent with the statements he made in the Affidavit.</w:t>
      </w:r>
    </w:p>
    <w:p>
      <w:pPr>
        <w:pStyle w:val="Normal"/>
        <w:jc w:val="both"/>
        <w:rPr/>
      </w:pPr>
      <w:r>
        <w:rPr/>
      </w:r>
    </w:p>
    <w:p>
      <w:pPr>
        <w:pStyle w:val="Normal"/>
        <w:jc w:val="both"/>
        <w:rPr/>
      </w:pPr>
      <w:r>
        <w:rPr/>
        <w:t>To avoid future questions about Mr. Ashman’s actions, and EGM’s intent that he act consistently with the terns if the Affidavit, I would like to clarify one provision of the Affidavit.  Specifically, Section 3(c)(ii) of the Affidavit states that Mr. Ashman will not, for a 2-year period after his last date of employment with Robinson,</w:t>
      </w:r>
    </w:p>
    <w:p>
      <w:pPr>
        <w:pStyle w:val="Normal"/>
        <w:jc w:val="both"/>
        <w:rPr/>
      </w:pPr>
      <w:r>
        <w:rPr/>
      </w:r>
    </w:p>
    <w:p>
      <w:pPr>
        <w:pStyle w:val="BlockText"/>
        <w:rPr/>
      </w:pPr>
      <w:r>
        <w:rPr/>
        <w:t>Cause or attempt to cause any customer of [Robinson] to divert, terminate, limit, or in any manner modify or fail to enter into any actual or potential business relationship with [Robinson].</w:t>
      </w:r>
    </w:p>
    <w:p>
      <w:pPr>
        <w:pStyle w:val="Normal"/>
        <w:jc w:val="both"/>
        <w:rPr/>
      </w:pPr>
      <w:r>
        <w:rPr/>
      </w:r>
    </w:p>
    <w:p>
      <w:pPr>
        <w:pStyle w:val="BodyText"/>
        <w:rPr/>
      </w:pPr>
      <w:r>
        <w:rPr/>
        <w:t>We understand that Robinson has customers worldwide.  Accordingly, we do not believe that Mr. Ashman would be prohibited from soliciting Robinson customers, other than those identified in Section 3(c)(i), based on the statement in 3(c)(ii).  Of course, we also view that statement as prohibiting Mr. Ashman from engaging in tortuous interference with Robinson’s contractual relationships.</w:t>
      </w:r>
    </w:p>
    <w:p>
      <w:pPr>
        <w:pStyle w:val="BodyText"/>
        <w:rPr/>
      </w:pPr>
      <w:r>
        <w:rPr/>
      </w:r>
    </w:p>
    <w:p>
      <w:pPr>
        <w:pStyle w:val="Normal"/>
        <w:jc w:val="both"/>
        <w:rPr/>
      </w:pPr>
      <w:r>
        <w:rPr/>
        <w:t>If you or anyone else at Robinson takes the position that this interpretation is incorrect, please let me know, in writing, as soon as possible.  If I have not received a written objection from you by June 15, 2001, then we will assume that this approach is acceptable to you and will allow Mr. Ashman to act accordingly.</w:t>
      </w:r>
    </w:p>
    <w:p>
      <w:pPr>
        <w:pStyle w:val="Normal"/>
        <w:jc w:val="both"/>
        <w:rPr/>
      </w:pPr>
      <w:r>
        <w:rPr/>
      </w:r>
    </w:p>
    <w:p>
      <w:pPr>
        <w:pStyle w:val="Normal"/>
        <w:jc w:val="both"/>
        <w:rPr/>
      </w:pPr>
      <w:r>
        <w:rPr/>
        <w:t>Please feel free to give me a call if you would like to discuss this further.</w:t>
      </w:r>
    </w:p>
    <w:p>
      <w:pPr>
        <w:pStyle w:val="Normal"/>
        <w:jc w:val="both"/>
        <w:rPr/>
      </w:pPr>
      <w:r>
        <w:rPr/>
      </w:r>
    </w:p>
    <w:p>
      <w:pPr>
        <w:pStyle w:val="Normal"/>
        <w:jc w:val="both"/>
        <w:rPr/>
      </w:pPr>
      <w:r>
        <w:rPr/>
        <w:tab/>
        <w:tab/>
        <w:tab/>
        <w:tab/>
        <w:tab/>
        <w:t>Very truly yours,</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Daniel C. Reck</w:t>
      </w:r>
    </w:p>
    <w:p>
      <w:pPr>
        <w:pStyle w:val="Normal"/>
        <w:jc w:val="both"/>
        <w:rPr/>
      </w:pPr>
      <w:r>
        <w:rPr/>
        <w:tab/>
        <w:tab/>
        <w:tab/>
        <w:tab/>
        <w:tab/>
        <w:t>Christopher R. Kravas</w:t>
      </w:r>
    </w:p>
    <w:p>
      <w:pPr>
        <w:pStyle w:val="Normal"/>
        <w:jc w:val="both"/>
        <w:rPr/>
      </w:pPr>
      <w:r>
        <w:rPr/>
      </w:r>
    </w:p>
    <w:p>
      <w:pPr>
        <w:pStyle w:val="Normal"/>
        <w:jc w:val="both"/>
        <w:rPr/>
      </w:pPr>
      <w:r>
        <w:rPr/>
        <w:t>/dcr</w:t>
      </w:r>
    </w:p>
    <w:p>
      <w:pPr>
        <w:pStyle w:val="Normal"/>
        <w:jc w:val="both"/>
        <w:rPr/>
      </w:pPr>
      <w:r>
        <w:rPr/>
      </w:r>
    </w:p>
    <w:p>
      <w:pPr>
        <w:pStyle w:val="Normal"/>
        <w:jc w:val="both"/>
        <w:rPr/>
      </w:pPr>
      <w:r>
        <w:rPr/>
        <w:t>cc:</w:t>
        <w:tab/>
        <w:t>John A. Ashman</w:t>
      </w:r>
    </w:p>
    <w:p>
      <w:pPr>
        <w:pStyle w:val="Normal"/>
        <w:jc w:val="both"/>
        <w:rPr/>
      </w:pPr>
      <w:r>
        <w:rPr/>
        <w:tab/>
      </w:r>
      <w:r>
        <w:br w:type="page"/>
      </w:r>
    </w:p>
    <w:p>
      <w:pPr>
        <w:pStyle w:val="Normal"/>
        <w:jc w:val="both"/>
        <w:rPr/>
      </w:pPr>
      <w:r>
        <w:rPr/>
        <w:t>bcc:</w:t>
        <w:tab/>
        <w:t>Michelle Hoogendam Cash</w:t>
      </w:r>
    </w:p>
    <w:p>
      <w:pPr>
        <w:pStyle w:val="Normal"/>
        <w:ind w:firstLine="720" w:end="0"/>
        <w:jc w:val="both"/>
        <w:rPr/>
      </w:pPr>
      <w:r>
        <w:rPr/>
        <w:t>Assistant General Counsel</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4945mhc.doc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t>Mr. Paul Loeb</w:t>
    </w:r>
  </w:p>
  <w:p>
    <w:pPr>
      <w:pStyle w:val="Header"/>
      <w:rPr>
        <w:sz w:val="20"/>
      </w:rPr>
    </w:pPr>
    <w:r>
      <w:rPr>
        <w:sz w:val="20"/>
      </w:rPr>
      <w:t>June 1,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180" w:leader="none"/>
      </w:tabs>
      <w:rPr/>
    </w:pPr>
    <w:r>
      <w:rPr/>
      <w:tab/>
      <w:tab/>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2001-05-22T17:47:00Z</dcterms:created>
  <dc:creator>tsweet</dc:creator>
  <dc:description/>
  <dc:language>en-CA</dc:language>
  <cp:lastModifiedBy>tsweet</cp:lastModifiedBy>
  <cp:lastPrinted>2001-06-01T13:39:00Z</cp:lastPrinted>
  <dcterms:modified xsi:type="dcterms:W3CDTF">2001-06-01T16:21:00Z</dcterms:modified>
  <cp:revision>12</cp:revision>
  <dc:subject/>
  <dc:title>May 22, 2001</dc:title>
</cp:coreProperties>
</file>